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609600" cy="381000"/>
            <wp:effectExtent t="0" r="0" b="0" l="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609600" cy="381000"/>
                    </a:xfrm>
                    <a:prstGeom prst="rect">
                      <a:avLst/>
                    </a:prstGeom>
                  </pic:spPr>
                </pic:pic>
              </a:graphicData>
            </a:graphic>
          </wp:inline>
        </w:drawing>
      </w:r>
      <w:r>
        <w:rPr>
          <w:rFonts w:ascii="Arial" w:cs="Arial" w:eastAsia="Arial" w:hAnsi="Arial"/>
          <w:b/>
          <w:bCs/>
          <w:color w:val="1B4B46"/>
          <w:sz w:val="30"/>
          <w:szCs w:val="30"/>
        </w:rPr>
        <w:t xml:space="preserve">   Semagora</w:t>
      </w:r>
    </w:p>
    <w:p>
      <w:pPr>
        <w:spacing w:after="100"/>
      </w:pPr>
      <w:r>
        <w:rPr>
          <w:rFonts w:ascii="Arial" w:cs="Arial" w:eastAsia="Arial" w:hAnsi="Arial"/>
          <w:b/>
          <w:bCs/>
          <w:color w:val="C5870D"/>
          <w:spacing w:val="20"/>
          <w:sz w:val="16"/>
          <w:szCs w:val="16"/>
        </w:rPr>
        <w:t xml:space="preserve">MODE D’EMPLOI – PAGES À SUPPRIMER AVANT LE DÉPÔT</w:t>
      </w:r>
    </w:p>
    <w:p>
      <w:pPr>
        <w:pStyle w:val="Title"/>
      </w:pPr>
      <w:r>
        <w:rPr>
          <w:rFonts w:ascii="Arial" w:cs="Arial" w:eastAsia="Arial" w:hAnsi="Arial"/>
          <w:color w:val="1B4B46"/>
        </w:rPr>
        <w:t xml:space="preserve">Modèle de mémoire technique</w:t>
      </w:r>
    </w:p>
    <w:p>
      <w:pPr>
        <w:spacing w:after="240"/>
      </w:pPr>
      <w:r>
        <w:rPr>
          <w:rFonts w:ascii="Arial" w:cs="Arial" w:eastAsia="Arial" w:hAnsi="Arial"/>
          <w:color w:val="5F6F6D"/>
          <w:sz w:val="26"/>
          <w:szCs w:val="26"/>
        </w:rPr>
        <w:t xml:space="preserve">Appel d’offres public : structure, consignes et exemple rédigé</w:t>
      </w:r>
    </w:p>
    <w:p>
      <w:pPr>
        <w:spacing w:after="200"/>
      </w:pPr>
      <w:r>
        <w:rPr>
          <w:rFonts w:ascii="Arial" w:cs="Arial" w:eastAsia="Arial" w:hAnsi="Arial"/>
          <w:color w:val="172B2A"/>
          <w:sz w:val="21"/>
          <w:szCs w:val="21"/>
        </w:rPr>
        <w:t xml:space="preserve">Un mémoire technique est noté sur les critères du règlement de consultation (RC), pas sur la réputation de l’entreprise. Ce modèle vous aide à répondre exactement à ce qui est noté, avec des engagements précis et des preuves.</w:t>
      </w:r>
    </w:p>
    <w:p>
      <w:pPr>
        <w:pStyle w:val="ListParagraph"/>
        <w:numPr>
          <w:ilvl w:val="0"/>
          <w:numId w:val="2"/>
        </w:numPr>
        <w:spacing w:after="40"/>
      </w:pPr>
      <w:r>
        <w:rPr>
          <w:rFonts w:ascii="Arial" w:cs="Arial" w:eastAsia="Arial" w:hAnsi="Arial"/>
          <w:b/>
          <w:bCs/>
          <w:color w:val="1B4B46"/>
        </w:rPr>
        <w:t xml:space="preserve">Lisez le RC crayon en main</w:t>
      </w:r>
    </w:p>
    <w:p>
      <w:pPr>
        <w:spacing w:after="140"/>
        <w:ind w:left="400"/>
      </w:pPr>
      <w:r>
        <w:rPr>
          <w:rFonts w:ascii="Arial" w:cs="Arial" w:eastAsia="Arial" w:hAnsi="Arial"/>
          <w:color w:val="5F6F6D"/>
          <w:sz w:val="19"/>
          <w:szCs w:val="19"/>
        </w:rPr>
        <w:t xml:space="preserve">Relevez les critères et sous-critères de la valeur technique, leur pondération, le nombre de pages autorisé et le format attendu. Si le RC impose un cadre de réponse, suivez-le plutôt que ce plan.</w:t>
      </w:r>
    </w:p>
    <w:p>
      <w:pPr>
        <w:pStyle w:val="ListParagraph"/>
        <w:numPr>
          <w:ilvl w:val="0"/>
          <w:numId w:val="2"/>
        </w:numPr>
        <w:spacing w:after="40"/>
      </w:pPr>
      <w:r>
        <w:rPr>
          <w:rFonts w:ascii="Arial" w:cs="Arial" w:eastAsia="Arial" w:hAnsi="Arial"/>
          <w:b/>
          <w:bCs/>
          <w:color w:val="1B4B46"/>
        </w:rPr>
        <w:t xml:space="preserve">Construisez la matrice de réponse</w:t>
      </w:r>
    </w:p>
    <w:p>
      <w:pPr>
        <w:spacing w:after="140"/>
        <w:ind w:left="400"/>
      </w:pPr>
      <w:r>
        <w:rPr>
          <w:rFonts w:ascii="Arial" w:cs="Arial" w:eastAsia="Arial" w:hAnsi="Arial"/>
          <w:color w:val="5F6F6D"/>
          <w:sz w:val="19"/>
          <w:szCs w:val="19"/>
        </w:rPr>
        <w:t xml:space="preserve">Listez chaque exigence du RC et du CCTP, la partie du mémoire qui y répond et la preuve jointe. Elle évite les oublis et sert de grille de relecture.</w:t>
      </w:r>
    </w:p>
    <w:p>
      <w:pPr>
        <w:pStyle w:val="ListParagraph"/>
        <w:numPr>
          <w:ilvl w:val="0"/>
          <w:numId w:val="2"/>
        </w:numPr>
        <w:spacing w:after="40"/>
      </w:pPr>
      <w:r>
        <w:rPr>
          <w:rFonts w:ascii="Arial" w:cs="Arial" w:eastAsia="Arial" w:hAnsi="Arial"/>
          <w:b/>
          <w:bCs/>
          <w:color w:val="1B4B46"/>
        </w:rPr>
        <w:t xml:space="preserve">Rédigez partie par partie</w:t>
      </w:r>
    </w:p>
    <w:p>
      <w:pPr>
        <w:spacing w:after="140"/>
        <w:ind w:left="400"/>
      </w:pPr>
      <w:r>
        <w:rPr>
          <w:rFonts w:ascii="Arial" w:cs="Arial" w:eastAsia="Arial" w:hAnsi="Arial"/>
          <w:color w:val="5F6F6D"/>
          <w:sz w:val="19"/>
          <w:szCs w:val="19"/>
        </w:rPr>
        <w:t xml:space="preserve">Chaque partie indique ce que l’acheteur évalue, donne une consigne et un exemple rédigé. Développez davantage les parties qui rapportent le plus de points.</w:t>
      </w:r>
    </w:p>
    <w:p>
      <w:pPr>
        <w:pStyle w:val="ListParagraph"/>
        <w:numPr>
          <w:ilvl w:val="0"/>
          <w:numId w:val="2"/>
        </w:numPr>
        <w:spacing w:after="40"/>
      </w:pPr>
      <w:r>
        <w:rPr>
          <w:rFonts w:ascii="Arial" w:cs="Arial" w:eastAsia="Arial" w:hAnsi="Arial"/>
          <w:b/>
          <w:bCs/>
          <w:color w:val="1B4B46"/>
        </w:rPr>
        <w:t xml:space="preserve">Relisez comme un évaluateur</w:t>
      </w:r>
    </w:p>
    <w:p>
      <w:pPr>
        <w:spacing w:after="140"/>
        <w:ind w:left="400"/>
      </w:pPr>
      <w:r>
        <w:rPr>
          <w:rFonts w:ascii="Arial" w:cs="Arial" w:eastAsia="Arial" w:hAnsi="Arial"/>
          <w:color w:val="5F6F6D"/>
          <w:sz w:val="19"/>
          <w:szCs w:val="19"/>
        </w:rPr>
        <w:t xml:space="preserve">Vérifiez chaque sous-critère avec la checklist finale et la cohérence avec votre prix, puis supprimez consignes et exemples.</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FE3DC" w:sz="4"/>
              <w:left w:val="single" w:color="2F7F71" w:sz="24"/>
              <w:bottom w:val="single" w:color="CFE3DC" w:sz="4"/>
              <w:right w:val="single" w:color="CFE3DC" w:sz="4"/>
            </w:tcBorders>
            <w:shd w:fill="EEF5F2" w:color="auto" w:val="clear"/>
            <w:tcMar>
              <w:top w:type="dxa" w:w="140"/>
              <w:left w:type="dxa" w:w="220"/>
              <w:bottom w:type="dxa" w:w="100"/>
              <w:right w:type="dxa" w:w="220"/>
            </w:tcMar>
          </w:tcPr>
          <w:p>
            <w:pPr>
              <w:spacing w:after="80"/>
            </w:pPr>
            <w:r>
              <w:rPr>
                <w:rFonts w:ascii="Arial" w:cs="Arial" w:eastAsia="Arial" w:hAnsi="Arial"/>
                <w:b/>
                <w:bCs/>
                <w:color w:val="2F7F71"/>
                <w:spacing w:val="20"/>
                <w:sz w:val="16"/>
                <w:szCs w:val="16"/>
              </w:rPr>
              <w:t xml:space="preserve">L’EXEMPLE FIL ROUGE</w:t>
            </w:r>
          </w:p>
          <w:p>
            <w:pPr>
              <w:spacing w:after="120" w:line="288"/>
            </w:pPr>
            <w:r>
              <w:rPr>
                <w:rFonts w:ascii="Arial" w:cs="Arial" w:eastAsia="Arial" w:hAnsi="Arial"/>
                <w:color w:val="172B2A"/>
                <w:sz w:val="19"/>
                <w:szCs w:val="19"/>
              </w:rPr>
              <w:t xml:space="preserve">Les exemples rédigés portent sur un marché fictif. La commune d’Arvelle (25 000 habitants) confie l’entretien de ses espaces verts à un accord-cadre à bons de commande d’un an, reconductible trois fois. Le candidat, Verdance Paysage, est lui aussi fictif. Les chiffres sont illustratifs : seuls le RC et le CCTP de votre marché font foi.</w:t>
            </w:r>
          </w:p>
          <w:tbl>
            <w:tblPr>
              <w:tblW w:type="dxa" w:w="9158"/>
              <w:tblBorders>
                <w:top w:val="single" w:color="auto" w:sz="4"/>
                <w:left w:val="single" w:color="auto" w:sz="4"/>
                <w:bottom w:val="single" w:color="auto" w:sz="4"/>
                <w:right w:val="single" w:color="auto" w:sz="4"/>
                <w:insideH w:val="single" w:color="auto" w:sz="4"/>
                <w:insideV w:val="single" w:color="auto" w:sz="4"/>
              </w:tblBorders>
            </w:tblPr>
            <w:tblGrid>
              <w:gridCol w:w="2931"/>
              <w:gridCol w:w="6227"/>
            </w:tblGrid>
            <w:tr>
              <w:trPr>
                <w:tblHeader/>
              </w:trPr>
              <w:tc>
                <w:tcPr>
                  <w:tcW w:type="dxa" w:w="2931"/>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Critère du RC de l’exemple</w:t>
                  </w:r>
                </w:p>
              </w:tc>
              <w:tc>
                <w:tcPr>
                  <w:tcW w:type="dxa" w:w="6227"/>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Points</w:t>
                  </w:r>
                </w:p>
              </w:tc>
            </w:tr>
            <w:tr>
              <w:tc>
                <w:tcPr>
                  <w:tcW w:type="dxa" w:w="2931"/>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Prix</w:t>
                  </w:r>
                </w:p>
              </w:tc>
              <w:tc>
                <w:tcPr>
                  <w:tcW w:type="dxa" w:w="6227"/>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40</w:t>
                  </w:r>
                </w:p>
              </w:tc>
            </w:tr>
            <w:tr>
              <w:tc>
                <w:tcPr>
                  <w:tcW w:type="dxa" w:w="2931"/>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Méthodologie et organisation</w:t>
                  </w:r>
                </w:p>
              </w:tc>
              <w:tc>
                <w:tcPr>
                  <w:tcW w:type="dxa" w:w="6227"/>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25</w:t>
                  </w:r>
                </w:p>
              </w:tc>
            </w:tr>
            <w:tr>
              <w:tc>
                <w:tcPr>
                  <w:tcW w:type="dxa" w:w="2931"/>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Moyens humains et matériels</w:t>
                  </w:r>
                </w:p>
              </w:tc>
              <w:tc>
                <w:tcPr>
                  <w:tcW w:type="dxa" w:w="6227"/>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20</w:t>
                  </w:r>
                </w:p>
              </w:tc>
            </w:tr>
            <w:tr>
              <w:tc>
                <w:tcPr>
                  <w:tcW w:type="dxa" w:w="2931"/>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Démarche environnementale</w:t>
                  </w:r>
                </w:p>
              </w:tc>
              <w:tc>
                <w:tcPr>
                  <w:tcW w:type="dxa" w:w="6227"/>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10</w:t>
                  </w:r>
                </w:p>
              </w:tc>
            </w:tr>
            <w:tr>
              <w:tc>
                <w:tcPr>
                  <w:tcW w:type="dxa" w:w="2931"/>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Délais d’intervention</w:t>
                  </w:r>
                </w:p>
              </w:tc>
              <w:tc>
                <w:tcPr>
                  <w:tcW w:type="dxa" w:w="6227"/>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5</w:t>
                  </w:r>
                </w:p>
              </w:tc>
            </w:tr>
          </w:tbl>
          <w:p>
            <w:pPr>
              <w:spacing w:after="40"/>
            </w:pP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9D6CD" w:sz="4"/>
              <w:left w:val="single" w:color="C5870D" w:sz="24"/>
              <w:bottom w:val="single" w:color="D9D6CD" w:sz="4"/>
              <w:right w:val="single" w:color="D9D6CD" w:sz="4"/>
            </w:tcBorders>
            <w:shd w:fill="FFFAF2" w:color="auto" w:val="clear"/>
            <w:tcMar>
              <w:top w:type="dxa" w:w="140"/>
              <w:left w:type="dxa" w:w="220"/>
              <w:bottom w:type="dxa" w:w="100"/>
              <w:right w:type="dxa" w:w="220"/>
            </w:tcMar>
          </w:tcPr>
          <w:p>
            <w:pPr>
              <w:spacing w:after="80"/>
            </w:pPr>
            <w:r>
              <w:rPr>
                <w:rFonts w:ascii="Arial" w:cs="Arial" w:eastAsia="Arial" w:hAnsi="Arial"/>
                <w:b/>
                <w:bCs/>
                <w:color w:val="1B4B46"/>
                <w:spacing w:val="20"/>
                <w:sz w:val="16"/>
                <w:szCs w:val="16"/>
              </w:rPr>
              <w:t xml:space="preserve">CE QUE CHERCHE L’ÉVALUATEUR</w:t>
            </w:r>
          </w:p>
          <w:p>
            <w:pPr>
              <w:pStyle w:val="ListParagraph"/>
              <w:numPr>
                <w:ilvl w:val="0"/>
                <w:numId w:val="3"/>
              </w:numPr>
              <w:spacing w:after="60" w:line="276"/>
            </w:pPr>
            <w:r>
              <w:rPr>
                <w:rFonts w:ascii="Arial" w:cs="Arial" w:eastAsia="Arial" w:hAnsi="Arial"/>
                <w:color w:val="172B2A"/>
                <w:sz w:val="19"/>
                <w:szCs w:val="19"/>
              </w:rPr>
              <w:t xml:space="preserve">Une réponse à chaque sous-critère, facile à trouver</w:t>
            </w:r>
          </w:p>
          <w:p>
            <w:pPr>
              <w:pStyle w:val="ListParagraph"/>
              <w:numPr>
                <w:ilvl w:val="0"/>
                <w:numId w:val="3"/>
              </w:numPr>
              <w:spacing w:after="60" w:line="276"/>
            </w:pPr>
            <w:r>
              <w:rPr>
                <w:rFonts w:ascii="Arial" w:cs="Arial" w:eastAsia="Arial" w:hAnsi="Arial"/>
                <w:color w:val="172B2A"/>
                <w:sz w:val="19"/>
                <w:szCs w:val="19"/>
              </w:rPr>
              <w:t xml:space="preserve">Des engagements précis : délais, effectifs, fréquences, indicateurs</w:t>
            </w:r>
          </w:p>
          <w:p>
            <w:pPr>
              <w:pStyle w:val="ListParagraph"/>
              <w:numPr>
                <w:ilvl w:val="0"/>
                <w:numId w:val="3"/>
              </w:numPr>
              <w:spacing w:after="60" w:line="276"/>
            </w:pPr>
            <w:r>
              <w:rPr>
                <w:rFonts w:ascii="Arial" w:cs="Arial" w:eastAsia="Arial" w:hAnsi="Arial"/>
                <w:color w:val="172B2A"/>
                <w:sz w:val="19"/>
                <w:szCs w:val="19"/>
              </w:rPr>
              <w:t xml:space="preserve">Des preuves : CV, attestations, fiches techniques, références</w:t>
            </w:r>
          </w:p>
          <w:p>
            <w:pPr>
              <w:pStyle w:val="ListParagraph"/>
              <w:numPr>
                <w:ilvl w:val="0"/>
                <w:numId w:val="3"/>
              </w:numPr>
              <w:spacing w:after="60" w:line="276"/>
            </w:pPr>
            <w:r>
              <w:rPr>
                <w:rFonts w:ascii="Arial" w:cs="Arial" w:eastAsia="Arial" w:hAnsi="Arial"/>
                <w:color w:val="172B2A"/>
                <w:sz w:val="19"/>
                <w:szCs w:val="19"/>
              </w:rPr>
              <w:t xml:space="preserve">Une organisation cohérente avec le prix et le planning</w:t>
            </w:r>
          </w:p>
        </w:tc>
      </w:tr>
    </w:tbl>
    <w:p>
      <w:pPr>
        <w:spacing w:before="200"/>
        <w:sectPr>
          <w:footerReference w:type="default" r:id="rId6"/>
          <w:pgSz w:w="11906" w:h="16838" w:orient="portrait"/>
          <w:pgMar w:top="1134" w:right="1134" w:bottom="1134" w:left="1134" w:header="708" w:footer="708" w:gutter="0"/>
          <w:pgNumType/>
          <w:docGrid w:linePitch="360"/>
        </w:sectPr>
      </w:pPr>
      <w:r>
        <w:rPr>
          <w:rFonts w:ascii="Arial" w:cs="Arial" w:eastAsia="Arial" w:hAnsi="Arial"/>
          <w:color w:val="5F6F6D"/>
          <w:sz w:val="18"/>
          <w:szCs w:val="18"/>
        </w:rPr>
        <w:t xml:space="preserve">Guide complet et exemple en PDF : semagora.com/guides/memoire-technique</w:t>
      </w:r>
    </w:p>
    <w:p>
      <w:pPr>
        <w:spacing w:after="1200"/>
      </w:pPr>
      <w:r>
        <w:rPr>
          <w:rFonts w:ascii="Arial" w:cs="Arial" w:eastAsia="Arial" w:hAnsi="Arial"/>
          <w:color w:val="5F6F6D"/>
          <w:sz w:val="20"/>
          <w:szCs w:val="20"/>
        </w:rPr>
        <w:t xml:space="preserve">[Logo du candidat]</w:t>
      </w:r>
    </w:p>
    <w:p>
      <w:pPr>
        <w:spacing w:after="120"/>
      </w:pPr>
      <w:r>
        <w:rPr>
          <w:rFonts w:ascii="Arial" w:cs="Arial" w:eastAsia="Arial" w:hAnsi="Arial"/>
          <w:b/>
          <w:bCs/>
          <w:color w:val="C5870D"/>
          <w:spacing w:val="30"/>
          <w:sz w:val="20"/>
          <w:szCs w:val="20"/>
        </w:rPr>
        <w:t xml:space="preserve">MÉMOIRE TECHNIQUE</w:t>
      </w:r>
    </w:p>
    <w:p>
      <w:pPr>
        <w:pStyle w:val="Title"/>
      </w:pPr>
      <w:r>
        <w:rPr>
          <w:rFonts w:ascii="Arial" w:cs="Arial" w:eastAsia="Arial" w:hAnsi="Arial"/>
          <w:color w:val="1B4B46"/>
        </w:rPr>
        <w:t xml:space="preserve">[Intitulé du marché]</w:t>
      </w:r>
    </w:p>
    <w:p>
      <w:pPr>
        <w:pBdr>
          <w:bottom w:val="single" w:color="C5870D" w:sz="18" w:space="8"/>
        </w:pBdr>
        <w:spacing w:after="3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c>
          <w:tcPr>
            <w:tcW w:type="dxa" w:w="3000"/>
            <w:tcBorders>
              <w:top w:val="none" w:color="auto" w:sz="0"/>
              <w:left w:val="none" w:color="auto" w:sz="0"/>
              <w:bottom w:val="single" w:color="D9D6CD" w:sz="4"/>
              <w:right w:val="none" w:color="auto" w:sz="0"/>
            </w:tcBorders>
            <w:tcMar>
              <w:top w:type="dxa" w:w="90"/>
              <w:left w:type="dxa" w:w="0"/>
              <w:bottom w:type="dxa" w:w="90"/>
              <w:right w:type="dxa" w:w="120"/>
            </w:tcMar>
          </w:tcPr>
          <w:p>
            <w:pPr>
              <w:spacing w:after="0"/>
            </w:pPr>
            <w:r>
              <w:rPr>
                <w:rFonts w:ascii="Arial" w:cs="Arial" w:eastAsia="Arial" w:hAnsi="Arial"/>
                <w:b/>
                <w:bCs/>
                <w:color w:val="1B4B46"/>
                <w:sz w:val="20"/>
                <w:szCs w:val="20"/>
              </w:rPr>
              <w:t xml:space="preserve">Marché</w:t>
            </w:r>
          </w:p>
        </w:tc>
        <w:tc>
          <w:tcPr>
            <w:tcW w:type="dxa" w:w="6638"/>
            <w:tcBorders>
              <w:top w:val="none" w:color="auto" w:sz="0"/>
              <w:left w:val="none" w:color="auto" w:sz="0"/>
              <w:bottom w:val="single" w:color="D9D6CD" w:sz="4"/>
              <w:right w:val="none" w:color="auto" w:sz="0"/>
            </w:tcBorders>
            <w:tcMar>
              <w:top w:type="dxa" w:w="90"/>
              <w:left w:type="dxa" w:w="120"/>
              <w:bottom w:type="dxa" w:w="90"/>
              <w:right w:type="dxa" w:w="0"/>
            </w:tcMar>
          </w:tcPr>
          <w:p>
            <w:pPr>
              <w:spacing w:after="0"/>
            </w:pPr>
            <w:r>
              <w:rPr>
                <w:rFonts w:ascii="Arial" w:cs="Arial" w:eastAsia="Arial" w:hAnsi="Arial"/>
                <w:color w:val="5F6F6D"/>
                <w:sz w:val="20"/>
                <w:szCs w:val="20"/>
              </w:rPr>
              <w:t xml:space="preserve">[intitulé exact du marché, tel qu’il figure dans le RC]</w:t>
            </w:r>
          </w:p>
        </w:tc>
      </w:tr>
      <w:tr>
        <w:tc>
          <w:tcPr>
            <w:tcW w:type="dxa" w:w="3000"/>
            <w:tcBorders>
              <w:top w:val="none" w:color="auto" w:sz="0"/>
              <w:left w:val="none" w:color="auto" w:sz="0"/>
              <w:bottom w:val="single" w:color="D9D6CD" w:sz="4"/>
              <w:right w:val="none" w:color="auto" w:sz="0"/>
            </w:tcBorders>
            <w:tcMar>
              <w:top w:type="dxa" w:w="90"/>
              <w:left w:type="dxa" w:w="0"/>
              <w:bottom w:type="dxa" w:w="90"/>
              <w:right w:type="dxa" w:w="120"/>
            </w:tcMar>
          </w:tcPr>
          <w:p>
            <w:pPr>
              <w:spacing w:after="0"/>
            </w:pPr>
            <w:r>
              <w:rPr>
                <w:rFonts w:ascii="Arial" w:cs="Arial" w:eastAsia="Arial" w:hAnsi="Arial"/>
                <w:b/>
                <w:bCs/>
                <w:color w:val="1B4B46"/>
                <w:sz w:val="20"/>
                <w:szCs w:val="20"/>
              </w:rPr>
              <w:t xml:space="preserve">Référence de la consultation</w:t>
            </w:r>
          </w:p>
        </w:tc>
        <w:tc>
          <w:tcPr>
            <w:tcW w:type="dxa" w:w="6638"/>
            <w:tcBorders>
              <w:top w:val="none" w:color="auto" w:sz="0"/>
              <w:left w:val="none" w:color="auto" w:sz="0"/>
              <w:bottom w:val="single" w:color="D9D6CD" w:sz="4"/>
              <w:right w:val="none" w:color="auto" w:sz="0"/>
            </w:tcBorders>
            <w:tcMar>
              <w:top w:type="dxa" w:w="90"/>
              <w:left w:type="dxa" w:w="120"/>
              <w:bottom w:type="dxa" w:w="90"/>
              <w:right w:type="dxa" w:w="0"/>
            </w:tcMar>
          </w:tcPr>
          <w:p>
            <w:pPr>
              <w:spacing w:after="0"/>
            </w:pPr>
            <w:r>
              <w:rPr>
                <w:rFonts w:ascii="Arial" w:cs="Arial" w:eastAsia="Arial" w:hAnsi="Arial"/>
                <w:color w:val="5F6F6D"/>
                <w:sz w:val="20"/>
                <w:szCs w:val="20"/>
              </w:rPr>
              <w:t xml:space="preserve">[numéro de la consultation]</w:t>
            </w:r>
          </w:p>
        </w:tc>
      </w:tr>
      <w:tr>
        <w:tc>
          <w:tcPr>
            <w:tcW w:type="dxa" w:w="3000"/>
            <w:tcBorders>
              <w:top w:val="none" w:color="auto" w:sz="0"/>
              <w:left w:val="none" w:color="auto" w:sz="0"/>
              <w:bottom w:val="single" w:color="D9D6CD" w:sz="4"/>
              <w:right w:val="none" w:color="auto" w:sz="0"/>
            </w:tcBorders>
            <w:tcMar>
              <w:top w:type="dxa" w:w="90"/>
              <w:left w:type="dxa" w:w="0"/>
              <w:bottom w:type="dxa" w:w="90"/>
              <w:right w:type="dxa" w:w="120"/>
            </w:tcMar>
          </w:tcPr>
          <w:p>
            <w:pPr>
              <w:spacing w:after="0"/>
            </w:pPr>
            <w:r>
              <w:rPr>
                <w:rFonts w:ascii="Arial" w:cs="Arial" w:eastAsia="Arial" w:hAnsi="Arial"/>
                <w:b/>
                <w:bCs/>
                <w:color w:val="1B4B46"/>
                <w:sz w:val="20"/>
                <w:szCs w:val="20"/>
              </w:rPr>
              <w:t xml:space="preserve">Lot</w:t>
            </w:r>
          </w:p>
        </w:tc>
        <w:tc>
          <w:tcPr>
            <w:tcW w:type="dxa" w:w="6638"/>
            <w:tcBorders>
              <w:top w:val="none" w:color="auto" w:sz="0"/>
              <w:left w:val="none" w:color="auto" w:sz="0"/>
              <w:bottom w:val="single" w:color="D9D6CD" w:sz="4"/>
              <w:right w:val="none" w:color="auto" w:sz="0"/>
            </w:tcBorders>
            <w:tcMar>
              <w:top w:type="dxa" w:w="90"/>
              <w:left w:type="dxa" w:w="120"/>
              <w:bottom w:type="dxa" w:w="90"/>
              <w:right w:type="dxa" w:w="0"/>
            </w:tcMar>
          </w:tcPr>
          <w:p>
            <w:pPr>
              <w:spacing w:after="0"/>
            </w:pPr>
            <w:r>
              <w:rPr>
                <w:rFonts w:ascii="Arial" w:cs="Arial" w:eastAsia="Arial" w:hAnsi="Arial"/>
                <w:color w:val="5F6F6D"/>
                <w:sz w:val="20"/>
                <w:szCs w:val="20"/>
              </w:rPr>
              <w:t xml:space="preserve">[numéro et intitulé du lot, ou « lot unique »]</w:t>
            </w:r>
          </w:p>
        </w:tc>
      </w:tr>
      <w:tr>
        <w:tc>
          <w:tcPr>
            <w:tcW w:type="dxa" w:w="3000"/>
            <w:tcBorders>
              <w:top w:val="none" w:color="auto" w:sz="0"/>
              <w:left w:val="none" w:color="auto" w:sz="0"/>
              <w:bottom w:val="single" w:color="D9D6CD" w:sz="4"/>
              <w:right w:val="none" w:color="auto" w:sz="0"/>
            </w:tcBorders>
            <w:tcMar>
              <w:top w:type="dxa" w:w="90"/>
              <w:left w:type="dxa" w:w="0"/>
              <w:bottom w:type="dxa" w:w="90"/>
              <w:right w:type="dxa" w:w="120"/>
            </w:tcMar>
          </w:tcPr>
          <w:p>
            <w:pPr>
              <w:spacing w:after="0"/>
            </w:pPr>
            <w:r>
              <w:rPr>
                <w:rFonts w:ascii="Arial" w:cs="Arial" w:eastAsia="Arial" w:hAnsi="Arial"/>
                <w:b/>
                <w:bCs/>
                <w:color w:val="1B4B46"/>
                <w:sz w:val="20"/>
                <w:szCs w:val="20"/>
              </w:rPr>
              <w:t xml:space="preserve">Acheteur</w:t>
            </w:r>
          </w:p>
        </w:tc>
        <w:tc>
          <w:tcPr>
            <w:tcW w:type="dxa" w:w="6638"/>
            <w:tcBorders>
              <w:top w:val="none" w:color="auto" w:sz="0"/>
              <w:left w:val="none" w:color="auto" w:sz="0"/>
              <w:bottom w:val="single" w:color="D9D6CD" w:sz="4"/>
              <w:right w:val="none" w:color="auto" w:sz="0"/>
            </w:tcBorders>
            <w:tcMar>
              <w:top w:type="dxa" w:w="90"/>
              <w:left w:type="dxa" w:w="120"/>
              <w:bottom w:type="dxa" w:w="90"/>
              <w:right w:type="dxa" w:w="0"/>
            </w:tcMar>
          </w:tcPr>
          <w:p>
            <w:pPr>
              <w:spacing w:after="0"/>
            </w:pPr>
            <w:r>
              <w:rPr>
                <w:rFonts w:ascii="Arial" w:cs="Arial" w:eastAsia="Arial" w:hAnsi="Arial"/>
                <w:color w:val="5F6F6D"/>
                <w:sz w:val="20"/>
                <w:szCs w:val="20"/>
              </w:rPr>
              <w:t xml:space="preserve">[nom de l’acheteur public]</w:t>
            </w:r>
          </w:p>
        </w:tc>
      </w:tr>
      <w:tr>
        <w:tc>
          <w:tcPr>
            <w:tcW w:type="dxa" w:w="3000"/>
            <w:tcBorders>
              <w:top w:val="none" w:color="auto" w:sz="0"/>
              <w:left w:val="none" w:color="auto" w:sz="0"/>
              <w:bottom w:val="single" w:color="D9D6CD" w:sz="4"/>
              <w:right w:val="none" w:color="auto" w:sz="0"/>
            </w:tcBorders>
            <w:tcMar>
              <w:top w:type="dxa" w:w="90"/>
              <w:left w:type="dxa" w:w="0"/>
              <w:bottom w:type="dxa" w:w="90"/>
              <w:right w:type="dxa" w:w="120"/>
            </w:tcMar>
          </w:tcPr>
          <w:p>
            <w:pPr>
              <w:spacing w:after="0"/>
            </w:pPr>
            <w:r>
              <w:rPr>
                <w:rFonts w:ascii="Arial" w:cs="Arial" w:eastAsia="Arial" w:hAnsi="Arial"/>
                <w:b/>
                <w:bCs/>
                <w:color w:val="1B4B46"/>
                <w:sz w:val="20"/>
                <w:szCs w:val="20"/>
              </w:rPr>
              <w:t xml:space="preserve">Candidat</w:t>
            </w:r>
          </w:p>
        </w:tc>
        <w:tc>
          <w:tcPr>
            <w:tcW w:type="dxa" w:w="6638"/>
            <w:tcBorders>
              <w:top w:val="none" w:color="auto" w:sz="0"/>
              <w:left w:val="none" w:color="auto" w:sz="0"/>
              <w:bottom w:val="single" w:color="D9D6CD" w:sz="4"/>
              <w:right w:val="none" w:color="auto" w:sz="0"/>
            </w:tcBorders>
            <w:tcMar>
              <w:top w:type="dxa" w:w="90"/>
              <w:left w:type="dxa" w:w="120"/>
              <w:bottom w:type="dxa" w:w="90"/>
              <w:right w:type="dxa" w:w="0"/>
            </w:tcMar>
          </w:tcPr>
          <w:p>
            <w:pPr>
              <w:spacing w:after="0"/>
            </w:pPr>
            <w:r>
              <w:rPr>
                <w:rFonts w:ascii="Arial" w:cs="Arial" w:eastAsia="Arial" w:hAnsi="Arial"/>
                <w:color w:val="5F6F6D"/>
                <w:sz w:val="20"/>
                <w:szCs w:val="20"/>
              </w:rPr>
              <w:t xml:space="preserve">[raison sociale et SIRET, ou mandataire et membres du groupement]</w:t>
            </w:r>
          </w:p>
        </w:tc>
      </w:tr>
      <w:tr>
        <w:tc>
          <w:tcPr>
            <w:tcW w:type="dxa" w:w="3000"/>
            <w:tcBorders>
              <w:top w:val="none" w:color="auto" w:sz="0"/>
              <w:left w:val="none" w:color="auto" w:sz="0"/>
              <w:bottom w:val="single" w:color="D9D6CD" w:sz="4"/>
              <w:right w:val="none" w:color="auto" w:sz="0"/>
            </w:tcBorders>
            <w:tcMar>
              <w:top w:type="dxa" w:w="90"/>
              <w:left w:type="dxa" w:w="0"/>
              <w:bottom w:type="dxa" w:w="90"/>
              <w:right w:type="dxa" w:w="120"/>
            </w:tcMar>
          </w:tcPr>
          <w:p>
            <w:pPr>
              <w:spacing w:after="0"/>
            </w:pPr>
            <w:r>
              <w:rPr>
                <w:rFonts w:ascii="Arial" w:cs="Arial" w:eastAsia="Arial" w:hAnsi="Arial"/>
                <w:b/>
                <w:bCs/>
                <w:color w:val="1B4B46"/>
                <w:sz w:val="20"/>
                <w:szCs w:val="20"/>
              </w:rPr>
              <w:t xml:space="preserve">Interlocuteur</w:t>
            </w:r>
          </w:p>
        </w:tc>
        <w:tc>
          <w:tcPr>
            <w:tcW w:type="dxa" w:w="6638"/>
            <w:tcBorders>
              <w:top w:val="none" w:color="auto" w:sz="0"/>
              <w:left w:val="none" w:color="auto" w:sz="0"/>
              <w:bottom w:val="single" w:color="D9D6CD" w:sz="4"/>
              <w:right w:val="none" w:color="auto" w:sz="0"/>
            </w:tcBorders>
            <w:tcMar>
              <w:top w:type="dxa" w:w="90"/>
              <w:left w:type="dxa" w:w="120"/>
              <w:bottom w:type="dxa" w:w="90"/>
              <w:right w:type="dxa" w:w="0"/>
            </w:tcMar>
          </w:tcPr>
          <w:p>
            <w:pPr>
              <w:spacing w:after="0"/>
            </w:pPr>
            <w:r>
              <w:rPr>
                <w:rFonts w:ascii="Arial" w:cs="Arial" w:eastAsia="Arial" w:hAnsi="Arial"/>
                <w:color w:val="5F6F6D"/>
                <w:sz w:val="20"/>
                <w:szCs w:val="20"/>
              </w:rPr>
              <w:t xml:space="preserve">[nom, fonction, téléphone et email]</w:t>
            </w:r>
          </w:p>
        </w:tc>
      </w:tr>
      <w:tr>
        <w:tc>
          <w:tcPr>
            <w:tcW w:type="dxa" w:w="3000"/>
            <w:tcBorders>
              <w:top w:val="none" w:color="auto" w:sz="0"/>
              <w:left w:val="none" w:color="auto" w:sz="0"/>
              <w:bottom w:val="single" w:color="D9D6CD" w:sz="4"/>
              <w:right w:val="none" w:color="auto" w:sz="0"/>
            </w:tcBorders>
            <w:tcMar>
              <w:top w:type="dxa" w:w="90"/>
              <w:left w:type="dxa" w:w="0"/>
              <w:bottom w:type="dxa" w:w="90"/>
              <w:right w:type="dxa" w:w="120"/>
            </w:tcMar>
          </w:tcPr>
          <w:p>
            <w:pPr>
              <w:spacing w:after="0"/>
            </w:pPr>
            <w:r>
              <w:rPr>
                <w:rFonts w:ascii="Arial" w:cs="Arial" w:eastAsia="Arial" w:hAnsi="Arial"/>
                <w:b/>
                <w:bCs/>
                <w:color w:val="1B4B46"/>
                <w:sz w:val="20"/>
                <w:szCs w:val="20"/>
              </w:rPr>
              <w:t xml:space="preserve">Date</w:t>
            </w:r>
          </w:p>
        </w:tc>
        <w:tc>
          <w:tcPr>
            <w:tcW w:type="dxa" w:w="6638"/>
            <w:tcBorders>
              <w:top w:val="none" w:color="auto" w:sz="0"/>
              <w:left w:val="none" w:color="auto" w:sz="0"/>
              <w:bottom w:val="single" w:color="D9D6CD" w:sz="4"/>
              <w:right w:val="none" w:color="auto" w:sz="0"/>
            </w:tcBorders>
            <w:tcMar>
              <w:top w:type="dxa" w:w="90"/>
              <w:left w:type="dxa" w:w="120"/>
              <w:bottom w:type="dxa" w:w="90"/>
              <w:right w:type="dxa" w:w="0"/>
            </w:tcMar>
          </w:tcPr>
          <w:p>
            <w:pPr>
              <w:spacing w:after="0"/>
            </w:pPr>
            <w:r>
              <w:rPr>
                <w:rFonts w:ascii="Arial" w:cs="Arial" w:eastAsia="Arial" w:hAnsi="Arial"/>
                <w:color w:val="5F6F6D"/>
                <w:sz w:val="20"/>
                <w:szCs w:val="20"/>
              </w:rPr>
              <w:t xml:space="preserve">[date de dépôt]</w:t>
            </w:r>
          </w:p>
        </w:tc>
      </w:tr>
    </w:tbl>
    <w:p>
      <w:r>
        <w:br w:type="page"/>
      </w:r>
    </w:p>
    <w:p>
      <w:pPr>
        <w:pStyle w:val="Heading1"/>
      </w:pPr>
      <w:r>
        <w:rPr>
          <w:rFonts w:ascii="Arial" w:cs="Arial" w:eastAsia="Arial" w:hAnsi="Arial"/>
          <w:color w:val="1B4B46"/>
        </w:rPr>
        <w:t xml:space="preserve">Sommaire</w:t>
      </w:r>
    </w:p>
    <w:p>
      <w:pPr>
        <w:tabs>
          <w:tab w:val="right" w:pos="9638" w:leader="dot"/>
        </w:tabs>
        <w:spacing w:after="100"/>
      </w:pPr>
      <w:r>
        <w:rPr>
          <w:rFonts w:ascii="Arial" w:cs="Arial" w:eastAsia="Arial" w:hAnsi="Arial"/>
          <w:color w:val="172B2A"/>
        </w:rPr>
        <w:t xml:space="preserve">Matrice de réponse</w:t>
      </w:r>
      <w:r>
        <w:rPr>
          <w:rFonts w:ascii="Arial" w:cs="Arial" w:eastAsia="Arial" w:hAnsi="Arial"/>
          <w:color w:val="5F6F6D"/>
        </w:rPr>
        <w:t xml:space="preserve">	[page]</w:t>
      </w:r>
    </w:p>
    <w:p>
      <w:pPr>
        <w:tabs>
          <w:tab w:val="right" w:pos="9638" w:leader="dot"/>
        </w:tabs>
        <w:spacing w:after="100"/>
      </w:pPr>
      <w:r>
        <w:rPr>
          <w:rFonts w:ascii="Arial" w:cs="Arial" w:eastAsia="Arial" w:hAnsi="Arial"/>
          <w:color w:val="172B2A"/>
        </w:rPr>
        <w:t xml:space="preserve">1. Compréhension du besoin et du contexte</w:t>
      </w:r>
      <w:r>
        <w:rPr>
          <w:rFonts w:ascii="Arial" w:cs="Arial" w:eastAsia="Arial" w:hAnsi="Arial"/>
          <w:color w:val="5F6F6D"/>
        </w:rPr>
        <w:t xml:space="preserve">	[page]</w:t>
      </w:r>
    </w:p>
    <w:p>
      <w:pPr>
        <w:tabs>
          <w:tab w:val="right" w:pos="9638" w:leader="dot"/>
        </w:tabs>
        <w:spacing w:after="100"/>
      </w:pPr>
      <w:r>
        <w:rPr>
          <w:rFonts w:ascii="Arial" w:cs="Arial" w:eastAsia="Arial" w:hAnsi="Arial"/>
          <w:color w:val="172B2A"/>
        </w:rPr>
        <w:t xml:space="preserve">2. Organisation et moyens humains</w:t>
      </w:r>
      <w:r>
        <w:rPr>
          <w:rFonts w:ascii="Arial" w:cs="Arial" w:eastAsia="Arial" w:hAnsi="Arial"/>
          <w:color w:val="5F6F6D"/>
        </w:rPr>
        <w:t xml:space="preserve">	[page]</w:t>
      </w:r>
    </w:p>
    <w:p>
      <w:pPr>
        <w:tabs>
          <w:tab w:val="right" w:pos="9638" w:leader="dot"/>
        </w:tabs>
        <w:spacing w:after="100"/>
      </w:pPr>
      <w:r>
        <w:rPr>
          <w:rFonts w:ascii="Arial" w:cs="Arial" w:eastAsia="Arial" w:hAnsi="Arial"/>
          <w:color w:val="172B2A"/>
        </w:rPr>
        <w:t xml:space="preserve">3. Moyens matériels</w:t>
      </w:r>
      <w:r>
        <w:rPr>
          <w:rFonts w:ascii="Arial" w:cs="Arial" w:eastAsia="Arial" w:hAnsi="Arial"/>
          <w:color w:val="5F6F6D"/>
        </w:rPr>
        <w:t xml:space="preserve">	[page]</w:t>
      </w:r>
    </w:p>
    <w:p>
      <w:pPr>
        <w:tabs>
          <w:tab w:val="right" w:pos="9638" w:leader="dot"/>
        </w:tabs>
        <w:spacing w:after="100"/>
      </w:pPr>
      <w:r>
        <w:rPr>
          <w:rFonts w:ascii="Arial" w:cs="Arial" w:eastAsia="Arial" w:hAnsi="Arial"/>
          <w:color w:val="172B2A"/>
        </w:rPr>
        <w:t xml:space="preserve">4. Méthodologie d’exécution</w:t>
      </w:r>
      <w:r>
        <w:rPr>
          <w:rFonts w:ascii="Arial" w:cs="Arial" w:eastAsia="Arial" w:hAnsi="Arial"/>
          <w:color w:val="5F6F6D"/>
        </w:rPr>
        <w:t xml:space="preserve">	[page]</w:t>
      </w:r>
    </w:p>
    <w:p>
      <w:pPr>
        <w:tabs>
          <w:tab w:val="right" w:pos="9638" w:leader="dot"/>
        </w:tabs>
        <w:spacing w:after="100"/>
      </w:pPr>
      <w:r>
        <w:rPr>
          <w:rFonts w:ascii="Arial" w:cs="Arial" w:eastAsia="Arial" w:hAnsi="Arial"/>
          <w:color w:val="172B2A"/>
        </w:rPr>
        <w:t xml:space="preserve">5. Planning</w:t>
      </w:r>
      <w:r>
        <w:rPr>
          <w:rFonts w:ascii="Arial" w:cs="Arial" w:eastAsia="Arial" w:hAnsi="Arial"/>
          <w:color w:val="5F6F6D"/>
        </w:rPr>
        <w:t xml:space="preserve">	[page]</w:t>
      </w:r>
    </w:p>
    <w:p>
      <w:pPr>
        <w:tabs>
          <w:tab w:val="right" w:pos="9638" w:leader="dot"/>
        </w:tabs>
        <w:spacing w:after="100"/>
      </w:pPr>
      <w:r>
        <w:rPr>
          <w:rFonts w:ascii="Arial" w:cs="Arial" w:eastAsia="Arial" w:hAnsi="Arial"/>
          <w:color w:val="172B2A"/>
        </w:rPr>
        <w:t xml:space="preserve">6. Qualité, contrôle et gestion des risques</w:t>
      </w:r>
      <w:r>
        <w:rPr>
          <w:rFonts w:ascii="Arial" w:cs="Arial" w:eastAsia="Arial" w:hAnsi="Arial"/>
          <w:color w:val="5F6F6D"/>
        </w:rPr>
        <w:t xml:space="preserve">	[page]</w:t>
      </w:r>
    </w:p>
    <w:p>
      <w:pPr>
        <w:tabs>
          <w:tab w:val="right" w:pos="9638" w:leader="dot"/>
        </w:tabs>
        <w:spacing w:after="100"/>
      </w:pPr>
      <w:r>
        <w:rPr>
          <w:rFonts w:ascii="Arial" w:cs="Arial" w:eastAsia="Arial" w:hAnsi="Arial"/>
          <w:color w:val="172B2A"/>
        </w:rPr>
        <w:t xml:space="preserve">7. Sécurité et santé</w:t>
      </w:r>
      <w:r>
        <w:rPr>
          <w:rFonts w:ascii="Arial" w:cs="Arial" w:eastAsia="Arial" w:hAnsi="Arial"/>
          <w:color w:val="5F6F6D"/>
        </w:rPr>
        <w:t xml:space="preserve">	[page]</w:t>
      </w:r>
    </w:p>
    <w:p>
      <w:pPr>
        <w:tabs>
          <w:tab w:val="right" w:pos="9638" w:leader="dot"/>
        </w:tabs>
        <w:spacing w:after="100"/>
      </w:pPr>
      <w:r>
        <w:rPr>
          <w:rFonts w:ascii="Arial" w:cs="Arial" w:eastAsia="Arial" w:hAnsi="Arial"/>
          <w:color w:val="172B2A"/>
        </w:rPr>
        <w:t xml:space="preserve">8. Démarche environnementale</w:t>
      </w:r>
      <w:r>
        <w:rPr>
          <w:rFonts w:ascii="Arial" w:cs="Arial" w:eastAsia="Arial" w:hAnsi="Arial"/>
          <w:color w:val="5F6F6D"/>
        </w:rPr>
        <w:t xml:space="preserve">	[page]</w:t>
      </w:r>
    </w:p>
    <w:p>
      <w:pPr>
        <w:tabs>
          <w:tab w:val="right" w:pos="9638" w:leader="dot"/>
        </w:tabs>
        <w:spacing w:after="100"/>
      </w:pPr>
      <w:r>
        <w:rPr>
          <w:rFonts w:ascii="Arial" w:cs="Arial" w:eastAsia="Arial" w:hAnsi="Arial"/>
          <w:color w:val="172B2A"/>
        </w:rPr>
        <w:t xml:space="preserve">9. Références comparables</w:t>
      </w:r>
      <w:r>
        <w:rPr>
          <w:rFonts w:ascii="Arial" w:cs="Arial" w:eastAsia="Arial" w:hAnsi="Arial"/>
          <w:color w:val="5F6F6D"/>
        </w:rPr>
        <w:t xml:space="preserve">	[page]</w:t>
      </w:r>
    </w:p>
    <w:p>
      <w:pPr>
        <w:tabs>
          <w:tab w:val="right" w:pos="9638" w:leader="dot"/>
        </w:tabs>
        <w:spacing w:after="100"/>
      </w:pPr>
      <w:r>
        <w:rPr>
          <w:rFonts w:ascii="Arial" w:cs="Arial" w:eastAsia="Arial" w:hAnsi="Arial"/>
          <w:color w:val="172B2A"/>
        </w:rPr>
        <w:t xml:space="preserve">10. Annexes</w:t>
      </w:r>
      <w:r>
        <w:rPr>
          <w:rFonts w:ascii="Arial" w:cs="Arial" w:eastAsia="Arial" w:hAnsi="Arial"/>
          <w:color w:val="5F6F6D"/>
        </w:rPr>
        <w:t xml:space="preserve">	[page]</w:t>
      </w:r>
    </w:p>
    <w:p>
      <w:r>
        <w:br w:type="page"/>
      </w:r>
    </w:p>
    <w:p>
      <w:pPr>
        <w:pStyle w:val="Heading1"/>
      </w:pPr>
      <w:r>
        <w:rPr>
          <w:rFonts w:ascii="Arial" w:cs="Arial" w:eastAsia="Arial" w:hAnsi="Arial"/>
          <w:color w:val="1B4B46"/>
        </w:rPr>
        <w:t xml:space="preserve">Matrice de réponse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9D6CD" w:sz="4"/>
              <w:left w:val="single" w:color="C5870D" w:sz="24"/>
              <w:bottom w:val="single" w:color="D9D6CD" w:sz="4"/>
              <w:right w:val="single" w:color="D9D6CD" w:sz="4"/>
            </w:tcBorders>
            <w:shd w:fill="FFFAF2" w:color="auto" w:val="clear"/>
            <w:tcMar>
              <w:top w:type="dxa" w:w="140"/>
              <w:left w:type="dxa" w:w="220"/>
              <w:bottom w:type="dxa" w:w="100"/>
              <w:right w:type="dxa" w:w="220"/>
            </w:tcMar>
          </w:tcPr>
          <w:p>
            <w:pPr>
              <w:spacing w:after="80"/>
            </w:pPr>
            <w:r>
              <w:rPr>
                <w:rFonts w:ascii="Arial" w:cs="Arial" w:eastAsia="Arial" w:hAnsi="Arial"/>
                <w:b/>
                <w:bCs/>
                <w:color w:val="1B4B46"/>
                <w:spacing w:val="20"/>
                <w:sz w:val="16"/>
                <w:szCs w:val="16"/>
              </w:rPr>
              <w:t xml:space="preserve">CONSIGNE – À SUPPRIMER AVANT LE DÉPÔT</w:t>
            </w:r>
          </w:p>
          <w:p>
            <w:pPr>
              <w:spacing w:after="40"/>
            </w:pPr>
            <w:r>
              <w:rPr>
                <w:rFonts w:ascii="Arial" w:cs="Arial" w:eastAsia="Arial" w:hAnsi="Arial"/>
                <w:color w:val="5F6F6D"/>
                <w:sz w:val="19"/>
                <w:szCs w:val="19"/>
              </w:rPr>
              <w:t xml:space="preserve">Une ligne par exigence du RC ou du CCTP. Joignez la matrice à l’offre seulement si elle aide l’acheteur à noter ; sinon, gardez-la pour la relecture.</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FE3DC" w:sz="4"/>
              <w:left w:val="single" w:color="2F7F71" w:sz="24"/>
              <w:bottom w:val="single" w:color="CFE3DC" w:sz="4"/>
              <w:right w:val="single" w:color="CFE3DC" w:sz="4"/>
            </w:tcBorders>
            <w:shd w:fill="EEF5F2" w:color="auto" w:val="clear"/>
            <w:tcMar>
              <w:top w:type="dxa" w:w="140"/>
              <w:left w:type="dxa" w:w="220"/>
              <w:bottom w:type="dxa" w:w="100"/>
              <w:right w:type="dxa" w:w="220"/>
            </w:tcMar>
          </w:tcPr>
          <w:p>
            <w:pPr>
              <w:spacing w:after="80"/>
            </w:pPr>
            <w:r>
              <w:rPr>
                <w:rFonts w:ascii="Arial" w:cs="Arial" w:eastAsia="Arial" w:hAnsi="Arial"/>
                <w:b/>
                <w:bCs/>
                <w:color w:val="2F7F71"/>
                <w:spacing w:val="20"/>
                <w:sz w:val="16"/>
                <w:szCs w:val="16"/>
              </w:rPr>
              <w:t xml:space="preserve">EXEMPLE RÉDIGÉ – À SUPPRIMER</w:t>
            </w:r>
          </w:p>
          <w:tbl>
            <w:tblPr>
              <w:tblW w:type="dxa" w:w="9158"/>
              <w:tblBorders>
                <w:top w:val="single" w:color="auto" w:sz="4"/>
                <w:left w:val="single" w:color="auto" w:sz="4"/>
                <w:bottom w:val="single" w:color="auto" w:sz="4"/>
                <w:right w:val="single" w:color="auto" w:sz="4"/>
                <w:insideH w:val="single" w:color="auto" w:sz="4"/>
                <w:insideV w:val="single" w:color="auto" w:sz="4"/>
              </w:tblBorders>
            </w:tblPr>
            <w:tblGrid>
              <w:gridCol w:w="3297"/>
              <w:gridCol w:w="2930"/>
              <w:gridCol w:w="2931"/>
            </w:tblGrid>
            <w:tr>
              <w:trPr>
                <w:tblHeader/>
              </w:trPr>
              <w:tc>
                <w:tcPr>
                  <w:tcW w:type="dxa" w:w="3297"/>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Exigence (pièce et article)</w:t>
                  </w:r>
                </w:p>
              </w:tc>
              <w:tc>
                <w:tcPr>
                  <w:tcW w:type="dxa" w:w="2930"/>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Partie du mémoire</w:t>
                  </w:r>
                </w:p>
              </w:tc>
              <w:tc>
                <w:tcPr>
                  <w:tcW w:type="dxa" w:w="2931"/>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Preuve jointe</w:t>
                  </w:r>
                </w:p>
              </w:tc>
            </w:tr>
            <w:tr>
              <w:tc>
                <w:tcPr>
                  <w:tcW w:type="dxa" w:w="3297"/>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RC art. 7.2 – Méthodologie et organisation (25 pts)</w:t>
                  </w:r>
                </w:p>
              </w:tc>
              <w:tc>
                <w:tcPr>
                  <w:tcW w:type="dxa" w:w="2930"/>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Partie 4, p. 6 à 9</w:t>
                  </w:r>
                </w:p>
              </w:tc>
              <w:tc>
                <w:tcPr>
                  <w:tcW w:type="dxa" w:w="2931"/>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Fiche d’intervention type (annexe 3)</w:t>
                  </w:r>
                </w:p>
              </w:tc>
            </w:tr>
            <w:tr>
              <w:tc>
                <w:tcPr>
                  <w:tcW w:type="dxa" w:w="3297"/>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RC art. 7.2 – Moyens humains et matériels (20 pts)</w:t>
                  </w:r>
                </w:p>
              </w:tc>
              <w:tc>
                <w:tcPr>
                  <w:tcW w:type="dxa" w:w="2930"/>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Parties 2 et 3</w:t>
                  </w:r>
                </w:p>
              </w:tc>
              <w:tc>
                <w:tcPr>
                  <w:tcW w:type="dxa" w:w="2931"/>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CV (annexe 1), liste du matériel (annexe 4)</w:t>
                  </w:r>
                </w:p>
              </w:tc>
            </w:tr>
            <w:tr>
              <w:tc>
                <w:tcPr>
                  <w:tcW w:type="dxa" w:w="3297"/>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RC art. 7.2 – Démarche environnementale (10 pts)</w:t>
                  </w:r>
                </w:p>
              </w:tc>
              <w:tc>
                <w:tcPr>
                  <w:tcW w:type="dxa" w:w="2930"/>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Partie 8</w:t>
                  </w:r>
                </w:p>
              </w:tc>
              <w:tc>
                <w:tcPr>
                  <w:tcW w:type="dxa" w:w="2931"/>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Attestation de la plateforme de compostage (annexe 5)</w:t>
                  </w:r>
                </w:p>
              </w:tc>
            </w:tr>
            <w:tr>
              <w:tc>
                <w:tcPr>
                  <w:tcW w:type="dxa" w:w="3297"/>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RC art. 7.2 – Délais d’intervention (5 pts)</w:t>
                  </w:r>
                </w:p>
              </w:tc>
              <w:tc>
                <w:tcPr>
                  <w:tcW w:type="dxa" w:w="2930"/>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Partie 4.3</w:t>
                  </w:r>
                </w:p>
              </w:tc>
              <w:tc>
                <w:tcPr>
                  <w:tcW w:type="dxa" w:w="2931"/>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Engagement de délais signé</w:t>
                  </w:r>
                </w:p>
              </w:tc>
            </w:tr>
          </w:tbl>
          <w:p>
            <w:pPr>
              <w:spacing w:after="60"/>
            </w:pP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70"/>
        <w:gridCol w:w="3084"/>
        <w:gridCol w:w="3084"/>
      </w:tblGrid>
      <w:tr>
        <w:trPr>
          <w:tblHeader/>
        </w:trPr>
        <w:tc>
          <w:tcPr>
            <w:tcW w:type="dxa" w:w="3470"/>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Exigence (pièce et article)</w:t>
            </w:r>
          </w:p>
        </w:tc>
        <w:tc>
          <w:tcPr>
            <w:tcW w:type="dxa" w:w="3084"/>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Partie du mémoire</w:t>
            </w:r>
          </w:p>
        </w:tc>
        <w:tc>
          <w:tcPr>
            <w:tcW w:type="dxa" w:w="3084"/>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Preuve jointe</w:t>
            </w:r>
          </w:p>
        </w:tc>
      </w:tr>
      <w:tr>
        <w:tc>
          <w:tcPr>
            <w:tcW w:type="dxa" w:w="3470"/>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[RC art. … – sous-critère (… points)]</w:t>
            </w:r>
          </w:p>
        </w:tc>
        <w:tc>
          <w:tcPr>
            <w:tcW w:type="dxa" w:w="3084"/>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[partie, pages]</w:t>
            </w:r>
          </w:p>
        </w:tc>
        <w:tc>
          <w:tcPr>
            <w:tcW w:type="dxa" w:w="3084"/>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[annexe ou document]</w:t>
            </w:r>
          </w:p>
        </w:tc>
      </w:tr>
      <w:tr>
        <w:tc>
          <w:tcPr>
            <w:tcW w:type="dxa" w:w="3470"/>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[RC art. … – sous-critère (… points)]</w:t>
            </w:r>
          </w:p>
        </w:tc>
        <w:tc>
          <w:tcPr>
            <w:tcW w:type="dxa" w:w="3084"/>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[partie, pages]</w:t>
            </w:r>
          </w:p>
        </w:tc>
        <w:tc>
          <w:tcPr>
            <w:tcW w:type="dxa" w:w="3084"/>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[annexe ou document]</w:t>
            </w:r>
          </w:p>
        </w:tc>
      </w:tr>
      <w:tr>
        <w:tc>
          <w:tcPr>
            <w:tcW w:type="dxa" w:w="3470"/>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[CCTP art. … – exigence]</w:t>
            </w:r>
          </w:p>
        </w:tc>
        <w:tc>
          <w:tcPr>
            <w:tcW w:type="dxa" w:w="3084"/>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[partie, pages]</w:t>
            </w:r>
          </w:p>
        </w:tc>
        <w:tc>
          <w:tcPr>
            <w:tcW w:type="dxa" w:w="3084"/>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[annexe ou document]</w:t>
            </w:r>
          </w:p>
        </w:tc>
      </w:tr>
      <w:tr>
        <w:tc>
          <w:tcPr>
            <w:tcW w:type="dxa" w:w="3470"/>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[CCTP art. … – exigence]</w:t>
            </w:r>
          </w:p>
        </w:tc>
        <w:tc>
          <w:tcPr>
            <w:tcW w:type="dxa" w:w="3084"/>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[partie, pages]</w:t>
            </w:r>
          </w:p>
        </w:tc>
        <w:tc>
          <w:tcPr>
            <w:tcW w:type="dxa" w:w="3084"/>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[annexe ou document]</w:t>
            </w:r>
          </w:p>
        </w:tc>
      </w:tr>
    </w:tbl>
    <w:p>
      <w:r>
        <w:br w:type="page"/>
      </w:r>
    </w:p>
    <w:p>
      <w:pPr>
        <w:pStyle w:val="Heading1"/>
      </w:pPr>
      <w:r>
        <w:rPr>
          <w:rFonts w:ascii="Arial" w:cs="Arial" w:eastAsia="Arial" w:hAnsi="Arial"/>
          <w:color w:val="1B4B46"/>
        </w:rPr>
        <w:t xml:space="preserve">1. Compréhension du besoin et du contexte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9D6CD" w:sz="4"/>
              <w:left w:val="single" w:color="C5870D" w:sz="24"/>
              <w:bottom w:val="single" w:color="D9D6CD" w:sz="4"/>
              <w:right w:val="single" w:color="D9D6CD" w:sz="4"/>
            </w:tcBorders>
            <w:shd w:fill="FFFAF2" w:color="auto" w:val="clear"/>
            <w:tcMar>
              <w:top w:type="dxa" w:w="140"/>
              <w:left w:type="dxa" w:w="220"/>
              <w:bottom w:type="dxa" w:w="100"/>
              <w:right w:type="dxa" w:w="220"/>
            </w:tcMar>
          </w:tcPr>
          <w:p>
            <w:pPr>
              <w:spacing w:after="80"/>
            </w:pPr>
            <w:r>
              <w:rPr>
                <w:rFonts w:ascii="Arial" w:cs="Arial" w:eastAsia="Arial" w:hAnsi="Arial"/>
                <w:b/>
                <w:bCs/>
                <w:color w:val="1B4B46"/>
                <w:spacing w:val="20"/>
                <w:sz w:val="16"/>
                <w:szCs w:val="16"/>
              </w:rPr>
              <w:t xml:space="preserve">CONSIGNE – À SUPPRIMER AVANT LE DÉPÔT</w:t>
            </w:r>
          </w:p>
          <w:p>
            <w:pPr>
              <w:spacing w:after="120" w:line="288"/>
            </w:pPr>
            <w:r>
              <w:rPr>
                <w:rFonts w:ascii="Arial" w:cs="Arial" w:eastAsia="Arial" w:hAnsi="Arial"/>
                <w:b/>
                <w:bCs/>
                <w:color w:val="1B4B46"/>
                <w:sz w:val="20"/>
                <w:szCs w:val="20"/>
              </w:rPr>
              <w:t xml:space="preserve">Ce que l’acheteur évalue : </w:t>
            </w:r>
            <w:r>
              <w:rPr>
                <w:rFonts w:ascii="Arial" w:cs="Arial" w:eastAsia="Arial" w:hAnsi="Arial"/>
                <w:color w:val="1B4B46"/>
                <w:sz w:val="20"/>
                <w:szCs w:val="20"/>
              </w:rPr>
              <w:t xml:space="preserve">Rarement notée seule, cette partie conditionne la note de méthodologie : l’acheteur vérifie que vous avez lu son dossier et repéré ses contraintes.</w:t>
            </w:r>
          </w:p>
          <w:p>
            <w:pPr>
              <w:pStyle w:val="ListParagraph"/>
              <w:numPr>
                <w:ilvl w:val="0"/>
                <w:numId w:val="3"/>
              </w:numPr>
              <w:spacing w:after="60" w:line="276"/>
            </w:pPr>
            <w:r>
              <w:rPr>
                <w:rFonts w:ascii="Arial" w:cs="Arial" w:eastAsia="Arial" w:hAnsi="Arial"/>
                <w:color w:val="5F6F6D"/>
                <w:sz w:val="19"/>
                <w:szCs w:val="19"/>
              </w:rPr>
              <w:t xml:space="preserve">Reformulez le besoin avec vos mots : périmètre, volumes, niveaux de service, durée.</w:t>
            </w:r>
          </w:p>
          <w:p>
            <w:pPr>
              <w:pStyle w:val="ListParagraph"/>
              <w:numPr>
                <w:ilvl w:val="0"/>
                <w:numId w:val="3"/>
              </w:numPr>
              <w:spacing w:after="60" w:line="276"/>
            </w:pPr>
            <w:r>
              <w:rPr>
                <w:rFonts w:ascii="Arial" w:cs="Arial" w:eastAsia="Arial" w:hAnsi="Arial"/>
                <w:color w:val="5F6F6D"/>
                <w:sz w:val="19"/>
                <w:szCs w:val="19"/>
              </w:rPr>
              <w:t xml:space="preserve">Citez les contraintes du CCTP et dites comment vous les traitez.</w:t>
            </w:r>
          </w:p>
          <w:p>
            <w:pPr>
              <w:pStyle w:val="ListParagraph"/>
              <w:numPr>
                <w:ilvl w:val="0"/>
                <w:numId w:val="3"/>
              </w:numPr>
              <w:spacing w:after="60" w:line="276"/>
            </w:pPr>
            <w:r>
              <w:rPr>
                <w:rFonts w:ascii="Arial" w:cs="Arial" w:eastAsia="Arial" w:hAnsi="Arial"/>
                <w:color w:val="5F6F6D"/>
                <w:sz w:val="19"/>
                <w:szCs w:val="19"/>
              </w:rPr>
              <w:t xml:space="preserve">Une demi-page à une page suffit.</w:t>
            </w:r>
          </w:p>
          <w:p>
            <w:pPr>
              <w:spacing w:after="40" w:before="60"/>
            </w:pPr>
            <w:r>
              <w:rPr>
                <w:rFonts w:ascii="Arial" w:cs="Arial" w:eastAsia="Arial" w:hAnsi="Arial"/>
                <w:b/>
                <w:bCs/>
                <w:color w:val="C5870D"/>
                <w:sz w:val="19"/>
                <w:szCs w:val="19"/>
              </w:rPr>
              <w:t xml:space="preserve">À éviter : </w:t>
            </w:r>
            <w:r>
              <w:rPr>
                <w:rFonts w:ascii="Arial" w:cs="Arial" w:eastAsia="Arial" w:hAnsi="Arial"/>
                <w:color w:val="5F6F6D"/>
                <w:sz w:val="19"/>
                <w:szCs w:val="19"/>
              </w:rPr>
              <w:t xml:space="preserve">Recopier le CCTP ou l’avis de marché ; Présenter l’entreprise au lieu du besoin.</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FE3DC" w:sz="4"/>
              <w:left w:val="single" w:color="2F7F71" w:sz="24"/>
              <w:bottom w:val="single" w:color="CFE3DC" w:sz="4"/>
              <w:right w:val="single" w:color="CFE3DC" w:sz="4"/>
            </w:tcBorders>
            <w:shd w:fill="EEF5F2" w:color="auto" w:val="clear"/>
            <w:tcMar>
              <w:top w:type="dxa" w:w="140"/>
              <w:left w:type="dxa" w:w="220"/>
              <w:bottom w:type="dxa" w:w="100"/>
              <w:right w:type="dxa" w:w="220"/>
            </w:tcMar>
          </w:tcPr>
          <w:p>
            <w:pPr>
              <w:spacing w:after="80"/>
            </w:pPr>
            <w:r>
              <w:rPr>
                <w:rFonts w:ascii="Arial" w:cs="Arial" w:eastAsia="Arial" w:hAnsi="Arial"/>
                <w:b/>
                <w:bCs/>
                <w:color w:val="2F7F71"/>
                <w:spacing w:val="20"/>
                <w:sz w:val="16"/>
                <w:szCs w:val="16"/>
              </w:rPr>
              <w:t xml:space="preserve">EXEMPLE RÉDIGÉ – À SUPPRIMER</w:t>
            </w:r>
          </w:p>
          <w:p>
            <w:pPr>
              <w:spacing w:after="120" w:line="288"/>
            </w:pPr>
            <w:r>
              <w:rPr>
                <w:rFonts w:ascii="Arial" w:cs="Arial" w:eastAsia="Arial" w:hAnsi="Arial"/>
                <w:color w:val="172B2A"/>
                <w:sz w:val="19"/>
                <w:szCs w:val="19"/>
              </w:rPr>
              <w:t xml:space="preserve">La commune d’Arvelle confie l’entretien de 38 hectares répartis sur 46 sites : 12 parcs et squares, les abords de 9 groupes scolaires, le cimetière communal et les accotements des voies. Le CCTP distingue trois niveaux d’entretien (soigné, courant, naturel) et exclut tout produit phytosanitaire de synthèse.</w:t>
            </w:r>
          </w:p>
          <w:p>
            <w:pPr>
              <w:spacing w:after="120" w:line="288"/>
            </w:pPr>
            <w:r>
              <w:rPr>
                <w:rFonts w:ascii="Arial" w:cs="Arial" w:eastAsia="Arial" w:hAnsi="Arial"/>
                <w:color w:val="172B2A"/>
                <w:sz w:val="19"/>
                <w:szCs w:val="19"/>
              </w:rPr>
              <w:t xml:space="preserve">Trois contraintes structurent notre organisation : intervenir aux abords des écoles en dehors des entrées et sorties d’élèves, présenter un cimetière irréprochable avant la Toussaint, et absorber le pic de végétation d’avril à juin sans retarder les autres sites.</w:t>
            </w:r>
          </w:p>
          <w:tbl>
            <w:tblPr>
              <w:tblW w:type="dxa" w:w="9158"/>
              <w:tblBorders>
                <w:top w:val="single" w:color="auto" w:sz="4"/>
                <w:left w:val="single" w:color="auto" w:sz="4"/>
                <w:bottom w:val="single" w:color="auto" w:sz="4"/>
                <w:right w:val="single" w:color="auto" w:sz="4"/>
                <w:insideH w:val="single" w:color="auto" w:sz="4"/>
                <w:insideV w:val="single" w:color="auto" w:sz="4"/>
              </w:tblBorders>
            </w:tblPr>
            <w:tblGrid>
              <w:gridCol w:w="2381"/>
              <w:gridCol w:w="2259"/>
              <w:gridCol w:w="2259"/>
              <w:gridCol w:w="2259"/>
            </w:tblGrid>
            <w:tr>
              <w:trPr>
                <w:tblHeader/>
              </w:trPr>
              <w:tc>
                <w:tcPr>
                  <w:tcW w:type="dxa" w:w="2381"/>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Type de site</w:t>
                  </w:r>
                </w:p>
              </w:tc>
              <w:tc>
                <w:tcPr>
                  <w:tcW w:type="dxa" w:w="2259"/>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Niveau</w:t>
                  </w:r>
                </w:p>
              </w:tc>
              <w:tc>
                <w:tcPr>
                  <w:tcW w:type="dxa" w:w="2259"/>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Tontes par an</w:t>
                  </w:r>
                </w:p>
              </w:tc>
              <w:tc>
                <w:tcPr>
                  <w:tcW w:type="dxa" w:w="2259"/>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Point de vigilance</w:t>
                  </w:r>
                </w:p>
              </w:tc>
            </w:tr>
            <w:tr>
              <w:tc>
                <w:tcPr>
                  <w:tcW w:type="dxa" w:w="2381"/>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Parcs et squares (12)</w:t>
                  </w:r>
                </w:p>
              </w:tc>
              <w:tc>
                <w:tcPr>
                  <w:tcW w:type="dxa" w:w="2259"/>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Soigné</w:t>
                  </w:r>
                </w:p>
              </w:tc>
              <w:tc>
                <w:tcPr>
                  <w:tcW w:type="dxa" w:w="2259"/>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14</w:t>
                  </w:r>
                </w:p>
              </w:tc>
              <w:tc>
                <w:tcPr>
                  <w:tcW w:type="dxa" w:w="2259"/>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Forte fréquentation le week-end</w:t>
                  </w:r>
                </w:p>
              </w:tc>
            </w:tr>
            <w:tr>
              <w:tc>
                <w:tcPr>
                  <w:tcW w:type="dxa" w:w="2381"/>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Abords d’écoles (9)</w:t>
                  </w:r>
                </w:p>
              </w:tc>
              <w:tc>
                <w:tcPr>
                  <w:tcW w:type="dxa" w:w="2259"/>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Soigné</w:t>
                  </w:r>
                </w:p>
              </w:tc>
              <w:tc>
                <w:tcPr>
                  <w:tcW w:type="dxa" w:w="2259"/>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12</w:t>
                  </w:r>
                </w:p>
              </w:tc>
              <w:tc>
                <w:tcPr>
                  <w:tcW w:type="dxa" w:w="2259"/>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Horaires d’entrée et de sortie</w:t>
                  </w:r>
                </w:p>
              </w:tc>
            </w:tr>
            <w:tr>
              <w:tc>
                <w:tcPr>
                  <w:tcW w:type="dxa" w:w="2381"/>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Cimetière</w:t>
                  </w:r>
                </w:p>
              </w:tc>
              <w:tc>
                <w:tcPr>
                  <w:tcW w:type="dxa" w:w="2259"/>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Soigné</w:t>
                  </w:r>
                </w:p>
              </w:tc>
              <w:tc>
                <w:tcPr>
                  <w:tcW w:type="dxa" w:w="2259"/>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10</w:t>
                  </w:r>
                </w:p>
              </w:tc>
              <w:tc>
                <w:tcPr>
                  <w:tcW w:type="dxa" w:w="2259"/>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Toussaint et cérémonies</w:t>
                  </w:r>
                </w:p>
              </w:tc>
            </w:tr>
            <w:tr>
              <w:tc>
                <w:tcPr>
                  <w:tcW w:type="dxa" w:w="2381"/>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Accotements des voies</w:t>
                  </w:r>
                </w:p>
              </w:tc>
              <w:tc>
                <w:tcPr>
                  <w:tcW w:type="dxa" w:w="2259"/>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Naturel</w:t>
                  </w:r>
                </w:p>
              </w:tc>
              <w:tc>
                <w:tcPr>
                  <w:tcW w:type="dxa" w:w="2259"/>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2</w:t>
                  </w:r>
                </w:p>
              </w:tc>
              <w:tc>
                <w:tcPr>
                  <w:tcW w:type="dxa" w:w="2259"/>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Fauche tardive, sécurité routière</w:t>
                  </w:r>
                </w:p>
              </w:tc>
            </w:tr>
          </w:tbl>
          <w:p>
            <w:pPr>
              <w:spacing w:after="60"/>
            </w:pPr>
          </w:p>
        </w:tc>
      </w:tr>
    </w:tbl>
    <w:p>
      <w:pPr>
        <w:spacing w:after="160"/>
      </w:pPr>
    </w:p>
    <w:p>
      <w:pPr>
        <w:pStyle w:val="ListParagraph"/>
        <w:numPr>
          <w:ilvl w:val="0"/>
          <w:numId w:val="3"/>
        </w:numPr>
        <w:spacing w:after="60" w:line="276"/>
      </w:pPr>
      <w:r>
        <w:rPr>
          <w:rFonts w:ascii="Arial" w:cs="Arial" w:eastAsia="Arial" w:hAnsi="Arial"/>
          <w:color w:val="172B2A"/>
        </w:rPr>
        <w:t xml:space="preserve">Périmètre et volumes : [sites, surfaces ou quantités, durée du marché]</w:t>
      </w:r>
    </w:p>
    <w:p>
      <w:pPr>
        <w:pStyle w:val="ListParagraph"/>
        <w:numPr>
          <w:ilvl w:val="0"/>
          <w:numId w:val="3"/>
        </w:numPr>
        <w:spacing w:after="60" w:line="276"/>
      </w:pPr>
      <w:r>
        <w:rPr>
          <w:rFonts w:ascii="Arial" w:cs="Arial" w:eastAsia="Arial" w:hAnsi="Arial"/>
          <w:color w:val="172B2A"/>
        </w:rPr>
        <w:t xml:space="preserve">Niveaux de service attendus : [fréquences, délais, résultats]</w:t>
      </w:r>
    </w:p>
    <w:p>
      <w:pPr>
        <w:pStyle w:val="ListParagraph"/>
        <w:numPr>
          <w:ilvl w:val="0"/>
          <w:numId w:val="3"/>
        </w:numPr>
        <w:spacing w:after="60" w:line="276"/>
      </w:pPr>
      <w:r>
        <w:rPr>
          <w:rFonts w:ascii="Arial" w:cs="Arial" w:eastAsia="Arial" w:hAnsi="Arial"/>
          <w:color w:val="172B2A"/>
        </w:rPr>
        <w:t xml:space="preserve">Contraintes repérées et réponse proposée : [contrainte → réponse]</w:t>
      </w:r>
    </w:p>
    <w:p>
      <w:r>
        <w:br w:type="page"/>
      </w:r>
    </w:p>
    <w:p>
      <w:pPr>
        <w:pStyle w:val="Heading1"/>
      </w:pPr>
      <w:r>
        <w:rPr>
          <w:rFonts w:ascii="Arial" w:cs="Arial" w:eastAsia="Arial" w:hAnsi="Arial"/>
          <w:color w:val="1B4B46"/>
        </w:rPr>
        <w:t xml:space="preserve">2. Organisation et moyens humains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9D6CD" w:sz="4"/>
              <w:left w:val="single" w:color="C5870D" w:sz="24"/>
              <w:bottom w:val="single" w:color="D9D6CD" w:sz="4"/>
              <w:right w:val="single" w:color="D9D6CD" w:sz="4"/>
            </w:tcBorders>
            <w:shd w:fill="FFFAF2" w:color="auto" w:val="clear"/>
            <w:tcMar>
              <w:top w:type="dxa" w:w="140"/>
              <w:left w:type="dxa" w:w="220"/>
              <w:bottom w:type="dxa" w:w="100"/>
              <w:right w:type="dxa" w:w="220"/>
            </w:tcMar>
          </w:tcPr>
          <w:p>
            <w:pPr>
              <w:spacing w:after="80"/>
            </w:pPr>
            <w:r>
              <w:rPr>
                <w:rFonts w:ascii="Arial" w:cs="Arial" w:eastAsia="Arial" w:hAnsi="Arial"/>
                <w:b/>
                <w:bCs/>
                <w:color w:val="1B4B46"/>
                <w:spacing w:val="20"/>
                <w:sz w:val="16"/>
                <w:szCs w:val="16"/>
              </w:rPr>
              <w:t xml:space="preserve">CONSIGNE – À SUPPRIMER AVANT LE DÉPÔT</w:t>
            </w:r>
          </w:p>
          <w:p>
            <w:pPr>
              <w:spacing w:after="120" w:line="288"/>
            </w:pPr>
            <w:r>
              <w:rPr>
                <w:rFonts w:ascii="Arial" w:cs="Arial" w:eastAsia="Arial" w:hAnsi="Arial"/>
                <w:b/>
                <w:bCs/>
                <w:color w:val="1B4B46"/>
                <w:sz w:val="20"/>
                <w:szCs w:val="20"/>
              </w:rPr>
              <w:t xml:space="preserve">Ce que l’acheteur évalue : </w:t>
            </w:r>
            <w:r>
              <w:rPr>
                <w:rFonts w:ascii="Arial" w:cs="Arial" w:eastAsia="Arial" w:hAnsi="Arial"/>
                <w:color w:val="1B4B46"/>
                <w:sz w:val="20"/>
                <w:szCs w:val="20"/>
              </w:rPr>
              <w:t xml:space="preserve">Des personnes identifiées, qualifiées et disponibles, et une organisation qui tient en cas d’absence ou de pic d’activité.</w:t>
            </w:r>
          </w:p>
          <w:p>
            <w:pPr>
              <w:pStyle w:val="ListParagraph"/>
              <w:numPr>
                <w:ilvl w:val="0"/>
                <w:numId w:val="3"/>
              </w:numPr>
              <w:spacing w:after="60" w:line="276"/>
            </w:pPr>
            <w:r>
              <w:rPr>
                <w:rFonts w:ascii="Arial" w:cs="Arial" w:eastAsia="Arial" w:hAnsi="Arial"/>
                <w:color w:val="5F6F6D"/>
                <w:sz w:val="19"/>
                <w:szCs w:val="19"/>
              </w:rPr>
              <w:t xml:space="preserve">Nommez l’interlocuteur unique de l’acheteur et l’encadrant présent sur le terrain.</w:t>
            </w:r>
          </w:p>
          <w:p>
            <w:pPr>
              <w:pStyle w:val="ListParagraph"/>
              <w:numPr>
                <w:ilvl w:val="0"/>
                <w:numId w:val="3"/>
              </w:numPr>
              <w:spacing w:after="60" w:line="276"/>
            </w:pPr>
            <w:r>
              <w:rPr>
                <w:rFonts w:ascii="Arial" w:cs="Arial" w:eastAsia="Arial" w:hAnsi="Arial"/>
                <w:color w:val="5F6F6D"/>
                <w:sz w:val="19"/>
                <w:szCs w:val="19"/>
              </w:rPr>
              <w:t xml:space="preserve">Pour chacun : rôle, qualification, expérience, temps consacré au marché.</w:t>
            </w:r>
          </w:p>
          <w:p>
            <w:pPr>
              <w:pStyle w:val="ListParagraph"/>
              <w:numPr>
                <w:ilvl w:val="0"/>
                <w:numId w:val="3"/>
              </w:numPr>
              <w:spacing w:after="60" w:line="276"/>
            </w:pPr>
            <w:r>
              <w:rPr>
                <w:rFonts w:ascii="Arial" w:cs="Arial" w:eastAsia="Arial" w:hAnsi="Arial"/>
                <w:color w:val="5F6F6D"/>
                <w:sz w:val="19"/>
                <w:szCs w:val="19"/>
              </w:rPr>
              <w:t xml:space="preserve">Expliquez le remplacement d’une absence et les renforts. Joignez les CV en annexe.</w:t>
            </w:r>
          </w:p>
          <w:p>
            <w:pPr>
              <w:spacing w:after="40" w:before="60"/>
            </w:pPr>
            <w:r>
              <w:rPr>
                <w:rFonts w:ascii="Arial" w:cs="Arial" w:eastAsia="Arial" w:hAnsi="Arial"/>
                <w:b/>
                <w:bCs/>
                <w:color w:val="C5870D"/>
                <w:sz w:val="19"/>
                <w:szCs w:val="19"/>
              </w:rPr>
              <w:t xml:space="preserve">À éviter : </w:t>
            </w:r>
            <w:r>
              <w:rPr>
                <w:rFonts w:ascii="Arial" w:cs="Arial" w:eastAsia="Arial" w:hAnsi="Arial"/>
                <w:color w:val="5F6F6D"/>
                <w:sz w:val="19"/>
                <w:szCs w:val="19"/>
              </w:rPr>
              <w:t xml:space="preserve">Un organigramme de toute l’entreprise sans lien avec le marché ; Des CV anonymes ou sans rapport avec la mission.</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FE3DC" w:sz="4"/>
              <w:left w:val="single" w:color="2F7F71" w:sz="24"/>
              <w:bottom w:val="single" w:color="CFE3DC" w:sz="4"/>
              <w:right w:val="single" w:color="CFE3DC" w:sz="4"/>
            </w:tcBorders>
            <w:shd w:fill="EEF5F2" w:color="auto" w:val="clear"/>
            <w:tcMar>
              <w:top w:type="dxa" w:w="140"/>
              <w:left w:type="dxa" w:w="220"/>
              <w:bottom w:type="dxa" w:w="100"/>
              <w:right w:type="dxa" w:w="220"/>
            </w:tcMar>
          </w:tcPr>
          <w:p>
            <w:pPr>
              <w:spacing w:after="80"/>
            </w:pPr>
            <w:r>
              <w:rPr>
                <w:rFonts w:ascii="Arial" w:cs="Arial" w:eastAsia="Arial" w:hAnsi="Arial"/>
                <w:b/>
                <w:bCs/>
                <w:color w:val="2F7F71"/>
                <w:spacing w:val="20"/>
                <w:sz w:val="16"/>
                <w:szCs w:val="16"/>
              </w:rPr>
              <w:t xml:space="preserve">EXEMPLE RÉDIGÉ – À SUPPRIMER</w:t>
            </w:r>
          </w:p>
          <w:p>
            <w:pPr>
              <w:spacing w:after="120" w:line="288"/>
            </w:pPr>
            <w:r>
              <w:rPr>
                <w:rFonts w:ascii="Arial" w:cs="Arial" w:eastAsia="Arial" w:hAnsi="Arial"/>
                <w:color w:val="172B2A"/>
                <w:sz w:val="19"/>
                <w:szCs w:val="19"/>
              </w:rPr>
              <w:t xml:space="preserve">Un conducteur de travaux, interlocuteur unique de la commune, consacre 20 % de son temps au marché. Un chef d’équipe dédié à temps plein encadre quatre jardiniers paysagistes, renforcés par deux saisonniers d’avril à juin.</w:t>
            </w:r>
          </w:p>
          <w:p>
            <w:pPr>
              <w:spacing w:after="120" w:line="288"/>
            </w:pPr>
            <w:r>
              <w:rPr>
                <w:rFonts w:ascii="Arial" w:cs="Arial" w:eastAsia="Arial" w:hAnsi="Arial"/>
                <w:color w:val="172B2A"/>
                <w:sz w:val="19"/>
                <w:szCs w:val="19"/>
              </w:rPr>
              <w:t xml:space="preserve">En cas d’absence, un agent de notre équipe de remplacement, déjà formé aux sites d’Arvelle, intervient sous 24 heures. Le chef d’équipe est remplacé par son adjoint désigné.</w:t>
            </w:r>
          </w:p>
          <w:tbl>
            <w:tblPr>
              <w:tblW w:type="dxa" w:w="9158"/>
              <w:tblBorders>
                <w:top w:val="single" w:color="auto" w:sz="4"/>
                <w:left w:val="single" w:color="auto" w:sz="4"/>
                <w:bottom w:val="single" w:color="auto" w:sz="4"/>
                <w:right w:val="single" w:color="auto" w:sz="4"/>
                <w:insideH w:val="single" w:color="auto" w:sz="4"/>
                <w:insideV w:val="single" w:color="auto" w:sz="4"/>
              </w:tblBorders>
            </w:tblPr>
            <w:tblGrid>
              <w:gridCol w:w="3297"/>
              <w:gridCol w:w="2930"/>
              <w:gridCol w:w="2931"/>
            </w:tblGrid>
            <w:tr>
              <w:trPr>
                <w:tblHeader/>
              </w:trPr>
              <w:tc>
                <w:tcPr>
                  <w:tcW w:type="dxa" w:w="3297"/>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Rôle</w:t>
                  </w:r>
                </w:p>
              </w:tc>
              <w:tc>
                <w:tcPr>
                  <w:tcW w:type="dxa" w:w="2930"/>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Profil</w:t>
                  </w:r>
                </w:p>
              </w:tc>
              <w:tc>
                <w:tcPr>
                  <w:tcW w:type="dxa" w:w="2931"/>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Temps sur le marché</w:t>
                  </w:r>
                </w:p>
              </w:tc>
            </w:tr>
            <w:tr>
              <w:tc>
                <w:tcPr>
                  <w:tcW w:type="dxa" w:w="3297"/>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Conducteur de travaux</w:t>
                  </w:r>
                </w:p>
              </w:tc>
              <w:tc>
                <w:tcPr>
                  <w:tcW w:type="dxa" w:w="2930"/>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BTS Aménagements paysagers, 15 ans d’expérience</w:t>
                  </w:r>
                </w:p>
              </w:tc>
              <w:tc>
                <w:tcPr>
                  <w:tcW w:type="dxa" w:w="2931"/>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20 %</w:t>
                  </w:r>
                </w:p>
              </w:tc>
            </w:tr>
            <w:tr>
              <w:tc>
                <w:tcPr>
                  <w:tcW w:type="dxa" w:w="3297"/>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Chef d’équipe</w:t>
                  </w:r>
                </w:p>
              </w:tc>
              <w:tc>
                <w:tcPr>
                  <w:tcW w:type="dxa" w:w="2930"/>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BP Aménagements paysagers, 12 ans d’expérience</w:t>
                  </w:r>
                </w:p>
              </w:tc>
              <w:tc>
                <w:tcPr>
                  <w:tcW w:type="dxa" w:w="2931"/>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100 %</w:t>
                  </w:r>
                </w:p>
              </w:tc>
            </w:tr>
            <w:tr>
              <w:tc>
                <w:tcPr>
                  <w:tcW w:type="dxa" w:w="3297"/>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Jardiniers paysagistes (4)</w:t>
                  </w:r>
                </w:p>
              </w:tc>
              <w:tc>
                <w:tcPr>
                  <w:tcW w:type="dxa" w:w="2930"/>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CAPA Jardinier paysagiste ou équivalent</w:t>
                  </w:r>
                </w:p>
              </w:tc>
              <w:tc>
                <w:tcPr>
                  <w:tcW w:type="dxa" w:w="2931"/>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100 %</w:t>
                  </w:r>
                </w:p>
              </w:tc>
            </w:tr>
            <w:tr>
              <w:tc>
                <w:tcPr>
                  <w:tcW w:type="dxa" w:w="3297"/>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Saisonniers (2)</w:t>
                  </w:r>
                </w:p>
              </w:tc>
              <w:tc>
                <w:tcPr>
                  <w:tcW w:type="dxa" w:w="2930"/>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Formés à la tonte et au débroussaillage</w:t>
                  </w:r>
                </w:p>
              </w:tc>
              <w:tc>
                <w:tcPr>
                  <w:tcW w:type="dxa" w:w="2931"/>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Avril à juin</w:t>
                  </w:r>
                </w:p>
              </w:tc>
            </w:tr>
          </w:tbl>
          <w:p>
            <w:pPr>
              <w:spacing w:after="60"/>
            </w:pP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70"/>
        <w:gridCol w:w="3084"/>
        <w:gridCol w:w="3084"/>
      </w:tblGrid>
      <w:tr>
        <w:trPr>
          <w:tblHeader/>
        </w:trPr>
        <w:tc>
          <w:tcPr>
            <w:tcW w:type="dxa" w:w="3470"/>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Rôle sur le marché</w:t>
            </w:r>
          </w:p>
        </w:tc>
        <w:tc>
          <w:tcPr>
            <w:tcW w:type="dxa" w:w="3084"/>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Nom et profil</w:t>
            </w:r>
          </w:p>
        </w:tc>
        <w:tc>
          <w:tcPr>
            <w:tcW w:type="dxa" w:w="3084"/>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Temps sur le marché</w:t>
            </w:r>
          </w:p>
        </w:tc>
      </w:tr>
      <w:tr>
        <w:tc>
          <w:tcPr>
            <w:tcW w:type="dxa" w:w="3470"/>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[interlocuteur unique]</w:t>
            </w:r>
          </w:p>
        </w:tc>
        <w:tc>
          <w:tcPr>
            <w:tcW w:type="dxa" w:w="3084"/>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[nom, qualification, expérience]</w:t>
            </w:r>
          </w:p>
        </w:tc>
        <w:tc>
          <w:tcPr>
            <w:tcW w:type="dxa" w:w="3084"/>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w:t>
            </w:r>
          </w:p>
        </w:tc>
      </w:tr>
      <w:tr>
        <w:tc>
          <w:tcPr>
            <w:tcW w:type="dxa" w:w="3470"/>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[encadrant terrain]</w:t>
            </w:r>
          </w:p>
        </w:tc>
        <w:tc>
          <w:tcPr>
            <w:tcW w:type="dxa" w:w="3084"/>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[nom, qualification, expérience]</w:t>
            </w:r>
          </w:p>
        </w:tc>
        <w:tc>
          <w:tcPr>
            <w:tcW w:type="dxa" w:w="3084"/>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w:t>
            </w:r>
          </w:p>
        </w:tc>
      </w:tr>
      <w:tr>
        <w:tc>
          <w:tcPr>
            <w:tcW w:type="dxa" w:w="3470"/>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[équipe]</w:t>
            </w:r>
          </w:p>
        </w:tc>
        <w:tc>
          <w:tcPr>
            <w:tcW w:type="dxa" w:w="3084"/>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[effectif et qualifications]</w:t>
            </w:r>
          </w:p>
        </w:tc>
        <w:tc>
          <w:tcPr>
            <w:tcW w:type="dxa" w:w="3084"/>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w:t>
            </w:r>
          </w:p>
        </w:tc>
      </w:tr>
    </w:tbl>
    <w:p>
      <w:pPr>
        <w:spacing w:after="120"/>
      </w:pPr>
    </w:p>
    <w:p>
      <w:pPr>
        <w:pStyle w:val="ListParagraph"/>
        <w:numPr>
          <w:ilvl w:val="0"/>
          <w:numId w:val="3"/>
        </w:numPr>
        <w:spacing w:after="60" w:line="276"/>
      </w:pPr>
      <w:r>
        <w:rPr>
          <w:rFonts w:ascii="Arial" w:cs="Arial" w:eastAsia="Arial" w:hAnsi="Arial"/>
          <w:color w:val="172B2A"/>
        </w:rPr>
        <w:t xml:space="preserve">Remplacement en cas d’absence : [organisation et délai]</w:t>
      </w:r>
    </w:p>
    <w:p>
      <w:pPr>
        <w:pStyle w:val="ListParagraph"/>
        <w:numPr>
          <w:ilvl w:val="0"/>
          <w:numId w:val="3"/>
        </w:numPr>
        <w:spacing w:after="60" w:line="276"/>
      </w:pPr>
      <w:r>
        <w:rPr>
          <w:rFonts w:ascii="Arial" w:cs="Arial" w:eastAsia="Arial" w:hAnsi="Arial"/>
          <w:color w:val="172B2A"/>
        </w:rPr>
        <w:t xml:space="preserve">Renforts en période de pointe : [effectif et période]</w:t>
      </w:r>
    </w:p>
    <w:p>
      <w:r>
        <w:br w:type="page"/>
      </w:r>
    </w:p>
    <w:p>
      <w:pPr>
        <w:pStyle w:val="Heading1"/>
      </w:pPr>
      <w:r>
        <w:rPr>
          <w:rFonts w:ascii="Arial" w:cs="Arial" w:eastAsia="Arial" w:hAnsi="Arial"/>
          <w:color w:val="1B4B46"/>
        </w:rPr>
        <w:t xml:space="preserve">3. Moyens matériels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9D6CD" w:sz="4"/>
              <w:left w:val="single" w:color="C5870D" w:sz="24"/>
              <w:bottom w:val="single" w:color="D9D6CD" w:sz="4"/>
              <w:right w:val="single" w:color="D9D6CD" w:sz="4"/>
            </w:tcBorders>
            <w:shd w:fill="FFFAF2" w:color="auto" w:val="clear"/>
            <w:tcMar>
              <w:top w:type="dxa" w:w="140"/>
              <w:left w:type="dxa" w:w="220"/>
              <w:bottom w:type="dxa" w:w="100"/>
              <w:right w:type="dxa" w:w="220"/>
            </w:tcMar>
          </w:tcPr>
          <w:p>
            <w:pPr>
              <w:spacing w:after="80"/>
            </w:pPr>
            <w:r>
              <w:rPr>
                <w:rFonts w:ascii="Arial" w:cs="Arial" w:eastAsia="Arial" w:hAnsi="Arial"/>
                <w:b/>
                <w:bCs/>
                <w:color w:val="1B4B46"/>
                <w:spacing w:val="20"/>
                <w:sz w:val="16"/>
                <w:szCs w:val="16"/>
              </w:rPr>
              <w:t xml:space="preserve">CONSIGNE – À SUPPRIMER AVANT LE DÉPÔT</w:t>
            </w:r>
          </w:p>
          <w:p>
            <w:pPr>
              <w:spacing w:after="120" w:line="288"/>
            </w:pPr>
            <w:r>
              <w:rPr>
                <w:rFonts w:ascii="Arial" w:cs="Arial" w:eastAsia="Arial" w:hAnsi="Arial"/>
                <w:b/>
                <w:bCs/>
                <w:color w:val="1B4B46"/>
                <w:sz w:val="20"/>
                <w:szCs w:val="20"/>
              </w:rPr>
              <w:t xml:space="preserve">Ce que l’acheteur évalue : </w:t>
            </w:r>
            <w:r>
              <w:rPr>
                <w:rFonts w:ascii="Arial" w:cs="Arial" w:eastAsia="Arial" w:hAnsi="Arial"/>
                <w:color w:val="1B4B46"/>
                <w:sz w:val="20"/>
                <w:szCs w:val="20"/>
              </w:rPr>
              <w:t xml:space="preserve">Du matériel adapté aux sites et aux exigences du CCTP, disponible pendant toute la durée du marché.</w:t>
            </w:r>
          </w:p>
          <w:p>
            <w:pPr>
              <w:pStyle w:val="ListParagraph"/>
              <w:numPr>
                <w:ilvl w:val="0"/>
                <w:numId w:val="3"/>
              </w:numPr>
              <w:spacing w:after="60" w:line="276"/>
            </w:pPr>
            <w:r>
              <w:rPr>
                <w:rFonts w:ascii="Arial" w:cs="Arial" w:eastAsia="Arial" w:hAnsi="Arial"/>
                <w:color w:val="5F6F6D"/>
                <w:sz w:val="19"/>
                <w:szCs w:val="19"/>
              </w:rPr>
              <w:t xml:space="preserve">Listez le matériel affecté au marché, pas tout votre parc.</w:t>
            </w:r>
          </w:p>
          <w:p>
            <w:pPr>
              <w:pStyle w:val="ListParagraph"/>
              <w:numPr>
                <w:ilvl w:val="0"/>
                <w:numId w:val="3"/>
              </w:numPr>
              <w:spacing w:after="60" w:line="276"/>
            </w:pPr>
            <w:r>
              <w:rPr>
                <w:rFonts w:ascii="Arial" w:cs="Arial" w:eastAsia="Arial" w:hAnsi="Arial"/>
                <w:color w:val="5F6F6D"/>
                <w:sz w:val="19"/>
                <w:szCs w:val="19"/>
              </w:rPr>
              <w:t xml:space="preserve">Reliez chaque équipement à une contrainte : bruit, sécurité, environnement, accès.</w:t>
            </w:r>
          </w:p>
          <w:p>
            <w:pPr>
              <w:pStyle w:val="ListParagraph"/>
              <w:numPr>
                <w:ilvl w:val="0"/>
                <w:numId w:val="3"/>
              </w:numPr>
              <w:spacing w:after="60" w:line="276"/>
            </w:pPr>
            <w:r>
              <w:rPr>
                <w:rFonts w:ascii="Arial" w:cs="Arial" w:eastAsia="Arial" w:hAnsi="Arial"/>
                <w:color w:val="5F6F6D"/>
                <w:sz w:val="19"/>
                <w:szCs w:val="19"/>
              </w:rPr>
              <w:t xml:space="preserve">Indiquez comment vous gérez une panne.</w:t>
            </w:r>
          </w:p>
          <w:p>
            <w:pPr>
              <w:spacing w:after="40" w:before="60"/>
            </w:pPr>
            <w:r>
              <w:rPr>
                <w:rFonts w:ascii="Arial" w:cs="Arial" w:eastAsia="Arial" w:hAnsi="Arial"/>
                <w:b/>
                <w:bCs/>
                <w:color w:val="C5870D"/>
                <w:sz w:val="19"/>
                <w:szCs w:val="19"/>
              </w:rPr>
              <w:t xml:space="preserve">À éviter : </w:t>
            </w:r>
            <w:r>
              <w:rPr>
                <w:rFonts w:ascii="Arial" w:cs="Arial" w:eastAsia="Arial" w:hAnsi="Arial"/>
                <w:color w:val="5F6F6D"/>
                <w:sz w:val="19"/>
                <w:szCs w:val="19"/>
              </w:rPr>
              <w:t xml:space="preserve">Une liste de marques sans quantité ni usage.</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FE3DC" w:sz="4"/>
              <w:left w:val="single" w:color="2F7F71" w:sz="24"/>
              <w:bottom w:val="single" w:color="CFE3DC" w:sz="4"/>
              <w:right w:val="single" w:color="CFE3DC" w:sz="4"/>
            </w:tcBorders>
            <w:shd w:fill="EEF5F2" w:color="auto" w:val="clear"/>
            <w:tcMar>
              <w:top w:type="dxa" w:w="140"/>
              <w:left w:type="dxa" w:w="220"/>
              <w:bottom w:type="dxa" w:w="100"/>
              <w:right w:type="dxa" w:w="220"/>
            </w:tcMar>
          </w:tcPr>
          <w:p>
            <w:pPr>
              <w:spacing w:after="80"/>
            </w:pPr>
            <w:r>
              <w:rPr>
                <w:rFonts w:ascii="Arial" w:cs="Arial" w:eastAsia="Arial" w:hAnsi="Arial"/>
                <w:b/>
                <w:bCs/>
                <w:color w:val="2F7F71"/>
                <w:spacing w:val="20"/>
                <w:sz w:val="16"/>
                <w:szCs w:val="16"/>
              </w:rPr>
              <w:t xml:space="preserve">EXEMPLE RÉDIGÉ – À SUPPRIMER</w:t>
            </w:r>
          </w:p>
          <w:p>
            <w:pPr>
              <w:spacing w:after="120" w:line="288"/>
            </w:pPr>
            <w:r>
              <w:rPr>
                <w:rFonts w:ascii="Arial" w:cs="Arial" w:eastAsia="Arial" w:hAnsi="Arial"/>
                <w:color w:val="172B2A"/>
                <w:sz w:val="19"/>
                <w:szCs w:val="19"/>
              </w:rPr>
              <w:t xml:space="preserve">Le matériel ci-dessous est affecté au marché. Le matériel électrique est réservé aux abords des écoles et au cimetière, pour limiter le bruit et les émissions. En cas de panne, un contrat de location garantit un remplacement sous 24 heures.</w:t>
            </w:r>
          </w:p>
          <w:tbl>
            <w:tblPr>
              <w:tblW w:type="dxa" w:w="9158"/>
              <w:tblBorders>
                <w:top w:val="single" w:color="auto" w:sz="4"/>
                <w:left w:val="single" w:color="auto" w:sz="4"/>
                <w:bottom w:val="single" w:color="auto" w:sz="4"/>
                <w:right w:val="single" w:color="auto" w:sz="4"/>
                <w:insideH w:val="single" w:color="auto" w:sz="4"/>
                <w:insideV w:val="single" w:color="auto" w:sz="4"/>
              </w:tblBorders>
            </w:tblPr>
            <w:tblGrid>
              <w:gridCol w:w="3297"/>
              <w:gridCol w:w="2930"/>
              <w:gridCol w:w="2931"/>
            </w:tblGrid>
            <w:tr>
              <w:trPr>
                <w:tblHeader/>
              </w:trPr>
              <w:tc>
                <w:tcPr>
                  <w:tcW w:type="dxa" w:w="3297"/>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Matériel</w:t>
                  </w:r>
                </w:p>
              </w:tc>
              <w:tc>
                <w:tcPr>
                  <w:tcW w:type="dxa" w:w="2930"/>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Quantité</w:t>
                  </w:r>
                </w:p>
              </w:tc>
              <w:tc>
                <w:tcPr>
                  <w:tcW w:type="dxa" w:w="2931"/>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Usage sur le marché</w:t>
                  </w:r>
                </w:p>
              </w:tc>
            </w:tr>
            <w:tr>
              <w:tc>
                <w:tcPr>
                  <w:tcW w:type="dxa" w:w="3297"/>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Tondeuse autoportée à coupe mulching</w:t>
                  </w:r>
                </w:p>
              </w:tc>
              <w:tc>
                <w:tcPr>
                  <w:tcW w:type="dxa" w:w="2930"/>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2</w:t>
                  </w:r>
                </w:p>
              </w:tc>
              <w:tc>
                <w:tcPr>
                  <w:tcW w:type="dxa" w:w="2931"/>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Parcs et grandes pelouses</w:t>
                  </w:r>
                </w:p>
              </w:tc>
            </w:tr>
            <w:tr>
              <w:tc>
                <w:tcPr>
                  <w:tcW w:type="dxa" w:w="3297"/>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Tondeuse et débroussailleuse électriques</w:t>
                  </w:r>
                </w:p>
              </w:tc>
              <w:tc>
                <w:tcPr>
                  <w:tcW w:type="dxa" w:w="2930"/>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2 + 2</w:t>
                  </w:r>
                </w:p>
              </w:tc>
              <w:tc>
                <w:tcPr>
                  <w:tcW w:type="dxa" w:w="2931"/>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Abords d’écoles, cimetière</w:t>
                  </w:r>
                </w:p>
              </w:tc>
            </w:tr>
            <w:tr>
              <w:tc>
                <w:tcPr>
                  <w:tcW w:type="dxa" w:w="3297"/>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Broyeur de végétaux</w:t>
                  </w:r>
                </w:p>
              </w:tc>
              <w:tc>
                <w:tcPr>
                  <w:tcW w:type="dxa" w:w="2930"/>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1</w:t>
                  </w:r>
                </w:p>
              </w:tc>
              <w:tc>
                <w:tcPr>
                  <w:tcW w:type="dxa" w:w="2931"/>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Paillage sur place des tailles</w:t>
                  </w:r>
                </w:p>
              </w:tc>
            </w:tr>
            <w:tr>
              <w:tc>
                <w:tcPr>
                  <w:tcW w:type="dxa" w:w="3297"/>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Fourgons bennes</w:t>
                  </w:r>
                </w:p>
              </w:tc>
              <w:tc>
                <w:tcPr>
                  <w:tcW w:type="dxa" w:w="2930"/>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2</w:t>
                  </w:r>
                </w:p>
              </w:tc>
              <w:tc>
                <w:tcPr>
                  <w:tcW w:type="dxa" w:w="2931"/>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Transport des équipes et des déchets verts</w:t>
                  </w:r>
                </w:p>
              </w:tc>
            </w:tr>
            <w:tr>
              <w:tc>
                <w:tcPr>
                  <w:tcW w:type="dxa" w:w="3297"/>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Tablettes de suivi</w:t>
                  </w:r>
                </w:p>
              </w:tc>
              <w:tc>
                <w:tcPr>
                  <w:tcW w:type="dxa" w:w="2930"/>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2</w:t>
                  </w:r>
                </w:p>
              </w:tc>
              <w:tc>
                <w:tcPr>
                  <w:tcW w:type="dxa" w:w="2931"/>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Comptes rendus photographiés et géolocalisés</w:t>
                  </w:r>
                </w:p>
              </w:tc>
            </w:tr>
          </w:tbl>
          <w:p>
            <w:pPr>
              <w:spacing w:after="60"/>
            </w:pP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70"/>
        <w:gridCol w:w="3084"/>
        <w:gridCol w:w="3084"/>
      </w:tblGrid>
      <w:tr>
        <w:trPr>
          <w:tblHeader/>
        </w:trPr>
        <w:tc>
          <w:tcPr>
            <w:tcW w:type="dxa" w:w="3470"/>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Matériel</w:t>
            </w:r>
          </w:p>
        </w:tc>
        <w:tc>
          <w:tcPr>
            <w:tcW w:type="dxa" w:w="3084"/>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Quantité</w:t>
            </w:r>
          </w:p>
        </w:tc>
        <w:tc>
          <w:tcPr>
            <w:tcW w:type="dxa" w:w="3084"/>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Usage sur le marché</w:t>
            </w:r>
          </w:p>
        </w:tc>
      </w:tr>
      <w:tr>
        <w:tc>
          <w:tcPr>
            <w:tcW w:type="dxa" w:w="3470"/>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[matériel]</w:t>
            </w:r>
          </w:p>
        </w:tc>
        <w:tc>
          <w:tcPr>
            <w:tcW w:type="dxa" w:w="3084"/>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[nombre]</w:t>
            </w:r>
          </w:p>
        </w:tc>
        <w:tc>
          <w:tcPr>
            <w:tcW w:type="dxa" w:w="3084"/>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[site ou contrainte concernée]</w:t>
            </w:r>
          </w:p>
        </w:tc>
      </w:tr>
      <w:tr>
        <w:tc>
          <w:tcPr>
            <w:tcW w:type="dxa" w:w="3470"/>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[matériel]</w:t>
            </w:r>
          </w:p>
        </w:tc>
        <w:tc>
          <w:tcPr>
            <w:tcW w:type="dxa" w:w="3084"/>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[nombre]</w:t>
            </w:r>
          </w:p>
        </w:tc>
        <w:tc>
          <w:tcPr>
            <w:tcW w:type="dxa" w:w="3084"/>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[site ou contrainte concernée]</w:t>
            </w:r>
          </w:p>
        </w:tc>
      </w:tr>
      <w:tr>
        <w:tc>
          <w:tcPr>
            <w:tcW w:type="dxa" w:w="3470"/>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[outil de suivi]</w:t>
            </w:r>
          </w:p>
        </w:tc>
        <w:tc>
          <w:tcPr>
            <w:tcW w:type="dxa" w:w="3084"/>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[nombre]</w:t>
            </w:r>
          </w:p>
        </w:tc>
        <w:tc>
          <w:tcPr>
            <w:tcW w:type="dxa" w:w="3084"/>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[comptes rendus, traçabilité]</w:t>
            </w:r>
          </w:p>
        </w:tc>
      </w:tr>
    </w:tbl>
    <w:p>
      <w:pPr>
        <w:spacing w:after="120"/>
      </w:pPr>
    </w:p>
    <w:p>
      <w:pPr>
        <w:pStyle w:val="ListParagraph"/>
        <w:numPr>
          <w:ilvl w:val="0"/>
          <w:numId w:val="3"/>
        </w:numPr>
        <w:spacing w:after="60" w:line="276"/>
      </w:pPr>
      <w:r>
        <w:rPr>
          <w:rFonts w:ascii="Arial" w:cs="Arial" w:eastAsia="Arial" w:hAnsi="Arial"/>
          <w:color w:val="172B2A"/>
        </w:rPr>
        <w:t xml:space="preserve">En cas de panne : [solution et délai]</w:t>
      </w:r>
    </w:p>
    <w:p>
      <w:r>
        <w:br w:type="page"/>
      </w:r>
    </w:p>
    <w:p>
      <w:pPr>
        <w:pStyle w:val="Heading1"/>
      </w:pPr>
      <w:r>
        <w:rPr>
          <w:rFonts w:ascii="Arial" w:cs="Arial" w:eastAsia="Arial" w:hAnsi="Arial"/>
          <w:color w:val="1B4B46"/>
        </w:rPr>
        <w:t xml:space="preserve">4. Méthodologie d’exécution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9D6CD" w:sz="4"/>
              <w:left w:val="single" w:color="C5870D" w:sz="24"/>
              <w:bottom w:val="single" w:color="D9D6CD" w:sz="4"/>
              <w:right w:val="single" w:color="D9D6CD" w:sz="4"/>
            </w:tcBorders>
            <w:shd w:fill="FFFAF2" w:color="auto" w:val="clear"/>
            <w:tcMar>
              <w:top w:type="dxa" w:w="140"/>
              <w:left w:type="dxa" w:w="220"/>
              <w:bottom w:type="dxa" w:w="100"/>
              <w:right w:type="dxa" w:w="220"/>
            </w:tcMar>
          </w:tcPr>
          <w:p>
            <w:pPr>
              <w:spacing w:after="80"/>
            </w:pPr>
            <w:r>
              <w:rPr>
                <w:rFonts w:ascii="Arial" w:cs="Arial" w:eastAsia="Arial" w:hAnsi="Arial"/>
                <w:b/>
                <w:bCs/>
                <w:color w:val="1B4B46"/>
                <w:spacing w:val="20"/>
                <w:sz w:val="16"/>
                <w:szCs w:val="16"/>
              </w:rPr>
              <w:t xml:space="preserve">CONSIGNE – À SUPPRIMER AVANT LE DÉPÔT</w:t>
            </w:r>
          </w:p>
          <w:p>
            <w:pPr>
              <w:spacing w:after="120" w:line="288"/>
            </w:pPr>
            <w:r>
              <w:rPr>
                <w:rFonts w:ascii="Arial" w:cs="Arial" w:eastAsia="Arial" w:hAnsi="Arial"/>
                <w:b/>
                <w:bCs/>
                <w:color w:val="1B4B46"/>
                <w:sz w:val="20"/>
                <w:szCs w:val="20"/>
              </w:rPr>
              <w:t xml:space="preserve">Ce que l’acheteur évalue : </w:t>
            </w:r>
            <w:r>
              <w:rPr>
                <w:rFonts w:ascii="Arial" w:cs="Arial" w:eastAsia="Arial" w:hAnsi="Arial"/>
                <w:color w:val="1B4B46"/>
                <w:sz w:val="20"/>
                <w:szCs w:val="20"/>
              </w:rPr>
              <w:t xml:space="preserve">Souvent la partie la plus notée : l’acheteur veut voir comment une prestation se déroule concrètement, du démarrage aux comptes rendus.</w:t>
            </w:r>
          </w:p>
          <w:p>
            <w:pPr>
              <w:pStyle w:val="ListParagraph"/>
              <w:numPr>
                <w:ilvl w:val="0"/>
                <w:numId w:val="3"/>
              </w:numPr>
              <w:spacing w:after="60" w:line="276"/>
            </w:pPr>
            <w:r>
              <w:rPr>
                <w:rFonts w:ascii="Arial" w:cs="Arial" w:eastAsia="Arial" w:hAnsi="Arial"/>
                <w:color w:val="5F6F6D"/>
                <w:sz w:val="19"/>
                <w:szCs w:val="19"/>
              </w:rPr>
              <w:t xml:space="preserve">Décrivez des étapes, des délais et des documents remis, pas des intentions.</w:t>
            </w:r>
          </w:p>
          <w:p>
            <w:pPr>
              <w:pStyle w:val="ListParagraph"/>
              <w:numPr>
                <w:ilvl w:val="0"/>
                <w:numId w:val="3"/>
              </w:numPr>
              <w:spacing w:after="60" w:line="276"/>
            </w:pPr>
            <w:r>
              <w:rPr>
                <w:rFonts w:ascii="Arial" w:cs="Arial" w:eastAsia="Arial" w:hAnsi="Arial"/>
                <w:color w:val="5F6F6D"/>
                <w:sz w:val="19"/>
                <w:szCs w:val="19"/>
              </w:rPr>
              <w:t xml:space="preserve">Traitez chaque type de prestation du CCTP et le cas des demandes urgentes.</w:t>
            </w:r>
          </w:p>
          <w:p>
            <w:pPr>
              <w:pStyle w:val="ListParagraph"/>
              <w:numPr>
                <w:ilvl w:val="0"/>
                <w:numId w:val="3"/>
              </w:numPr>
              <w:spacing w:after="60" w:line="276"/>
            </w:pPr>
            <w:r>
              <w:rPr>
                <w:rFonts w:ascii="Arial" w:cs="Arial" w:eastAsia="Arial" w:hAnsi="Arial"/>
                <w:color w:val="5F6F6D"/>
                <w:sz w:val="19"/>
                <w:szCs w:val="19"/>
              </w:rPr>
              <w:t xml:space="preserve">Illustrez avec une fiche d’intervention ou un compte rendu en annexe.</w:t>
            </w:r>
          </w:p>
          <w:p>
            <w:pPr>
              <w:spacing w:after="40" w:before="60"/>
            </w:pPr>
            <w:r>
              <w:rPr>
                <w:rFonts w:ascii="Arial" w:cs="Arial" w:eastAsia="Arial" w:hAnsi="Arial"/>
                <w:b/>
                <w:bCs/>
                <w:color w:val="C5870D"/>
                <w:sz w:val="19"/>
                <w:szCs w:val="19"/>
              </w:rPr>
              <w:t xml:space="preserve">À éviter : </w:t>
            </w:r>
            <w:r>
              <w:rPr>
                <w:rFonts w:ascii="Arial" w:cs="Arial" w:eastAsia="Arial" w:hAnsi="Arial"/>
                <w:color w:val="5F6F6D"/>
                <w:sz w:val="19"/>
                <w:szCs w:val="19"/>
              </w:rPr>
              <w:t xml:space="preserve">« Nous mettons tout en œuvre pour… » sans dire comment ; Une méthode générique qui ne cite aucun site ni aucune contrainte du marché.</w:t>
            </w:r>
          </w:p>
        </w:tc>
      </w:tr>
    </w:tbl>
    <w:p>
      <w:pPr>
        <w:spacing w:after="160"/>
      </w:pPr>
    </w:p>
    <w:p>
      <w:pPr>
        <w:pStyle w:val="Heading2"/>
      </w:pPr>
      <w:r>
        <w:rPr>
          <w:rFonts w:ascii="Arial" w:cs="Arial" w:eastAsia="Arial" w:hAnsi="Arial"/>
          <w:color w:val="1B4B46"/>
        </w:rPr>
        <w:t xml:space="preserve">4.1 Démarrage du marché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FE3DC" w:sz="4"/>
              <w:left w:val="single" w:color="2F7F71" w:sz="24"/>
              <w:bottom w:val="single" w:color="CFE3DC" w:sz="4"/>
              <w:right w:val="single" w:color="CFE3DC" w:sz="4"/>
            </w:tcBorders>
            <w:shd w:fill="EEF5F2" w:color="auto" w:val="clear"/>
            <w:tcMar>
              <w:top w:type="dxa" w:w="140"/>
              <w:left w:type="dxa" w:w="220"/>
              <w:bottom w:type="dxa" w:w="100"/>
              <w:right w:type="dxa" w:w="220"/>
            </w:tcMar>
          </w:tcPr>
          <w:p>
            <w:pPr>
              <w:spacing w:after="80"/>
            </w:pPr>
            <w:r>
              <w:rPr>
                <w:rFonts w:ascii="Arial" w:cs="Arial" w:eastAsia="Arial" w:hAnsi="Arial"/>
                <w:b/>
                <w:bCs/>
                <w:color w:val="2F7F71"/>
                <w:spacing w:val="20"/>
                <w:sz w:val="16"/>
                <w:szCs w:val="16"/>
              </w:rPr>
              <w:t xml:space="preserve">EXEMPLE RÉDIGÉ – À SUPPRIMER</w:t>
            </w:r>
          </w:p>
          <w:p>
            <w:pPr>
              <w:spacing w:after="40"/>
            </w:pPr>
            <w:r>
              <w:rPr>
                <w:rFonts w:ascii="Arial" w:cs="Arial" w:eastAsia="Arial" w:hAnsi="Arial"/>
                <w:color w:val="172B2A"/>
                <w:sz w:val="19"/>
                <w:szCs w:val="19"/>
              </w:rPr>
              <w:t xml:space="preserve">Réunion de lancement dans les 7 jours suivant la notification. Visite contradictoire des 46 sites dans les 15 jours, avec un état des lieux photographié. Plan de gestion différenciée remis à la commune 30 jours après la notification.</w:t>
            </w:r>
          </w:p>
        </w:tc>
      </w:tr>
    </w:tbl>
    <w:p>
      <w:pPr>
        <w:spacing w:after="160"/>
      </w:pPr>
    </w:p>
    <w:p>
      <w:pPr>
        <w:spacing w:after="120" w:line="288"/>
      </w:pPr>
      <w:r>
        <w:rPr>
          <w:rFonts w:ascii="Arial" w:cs="Arial" w:eastAsia="Arial" w:hAnsi="Arial"/>
          <w:color w:val="5F6F6D"/>
        </w:rPr>
        <w:t xml:space="preserve">[réunion de lancement, visite des sites, documents remis et délais]</w:t>
      </w:r>
    </w:p>
    <w:p>
      <w:pPr>
        <w:pStyle w:val="Heading2"/>
      </w:pPr>
      <w:r>
        <w:rPr>
          <w:rFonts w:ascii="Arial" w:cs="Arial" w:eastAsia="Arial" w:hAnsi="Arial"/>
          <w:color w:val="1B4B46"/>
        </w:rPr>
        <w:t xml:space="preserve">4.2 Déroulement d’une prestation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FE3DC" w:sz="4"/>
              <w:left w:val="single" w:color="2F7F71" w:sz="24"/>
              <w:bottom w:val="single" w:color="CFE3DC" w:sz="4"/>
              <w:right w:val="single" w:color="CFE3DC" w:sz="4"/>
            </w:tcBorders>
            <w:shd w:fill="EEF5F2" w:color="auto" w:val="clear"/>
            <w:tcMar>
              <w:top w:type="dxa" w:w="140"/>
              <w:left w:type="dxa" w:w="220"/>
              <w:bottom w:type="dxa" w:w="100"/>
              <w:right w:type="dxa" w:w="220"/>
            </w:tcMar>
          </w:tcPr>
          <w:p>
            <w:pPr>
              <w:spacing w:after="80"/>
            </w:pPr>
            <w:r>
              <w:rPr>
                <w:rFonts w:ascii="Arial" w:cs="Arial" w:eastAsia="Arial" w:hAnsi="Arial"/>
                <w:b/>
                <w:bCs/>
                <w:color w:val="2F7F71"/>
                <w:spacing w:val="20"/>
                <w:sz w:val="16"/>
                <w:szCs w:val="16"/>
              </w:rPr>
              <w:t xml:space="preserve">EXEMPLE RÉDIGÉ – À SUPPRIMER</w:t>
            </w:r>
          </w:p>
          <w:p>
            <w:pPr>
              <w:pStyle w:val="ListParagraph"/>
              <w:numPr>
                <w:ilvl w:val="0"/>
                <w:numId w:val="4"/>
              </w:numPr>
              <w:spacing w:after="60"/>
            </w:pPr>
            <w:r>
              <w:rPr>
                <w:rFonts w:ascii="Arial" w:cs="Arial" w:eastAsia="Arial" w:hAnsi="Arial"/>
                <w:color w:val="172B2A"/>
                <w:sz w:val="19"/>
                <w:szCs w:val="19"/>
              </w:rPr>
              <w:t xml:space="preserve">Réception du bon de commande et accusé de réception le jour même</w:t>
            </w:r>
          </w:p>
          <w:p>
            <w:pPr>
              <w:pStyle w:val="ListParagraph"/>
              <w:numPr>
                <w:ilvl w:val="0"/>
                <w:numId w:val="4"/>
              </w:numPr>
              <w:spacing w:after="60"/>
            </w:pPr>
            <w:r>
              <w:rPr>
                <w:rFonts w:ascii="Arial" w:cs="Arial" w:eastAsia="Arial" w:hAnsi="Arial"/>
                <w:color w:val="172B2A"/>
                <w:sz w:val="19"/>
                <w:szCs w:val="19"/>
              </w:rPr>
              <w:t xml:space="preserve">Planification sous 48 heures, en respectant les créneaux scolaires</w:t>
            </w:r>
          </w:p>
          <w:p>
            <w:pPr>
              <w:pStyle w:val="ListParagraph"/>
              <w:numPr>
                <w:ilvl w:val="0"/>
                <w:numId w:val="4"/>
              </w:numPr>
              <w:spacing w:after="60"/>
            </w:pPr>
            <w:r>
              <w:rPr>
                <w:rFonts w:ascii="Arial" w:cs="Arial" w:eastAsia="Arial" w:hAnsi="Arial"/>
                <w:color w:val="172B2A"/>
                <w:sz w:val="19"/>
                <w:szCs w:val="19"/>
              </w:rPr>
              <w:t xml:space="preserve">Intervention de l’équipe dédiée, avec autocontrôle photographié</w:t>
            </w:r>
          </w:p>
          <w:p>
            <w:pPr>
              <w:pStyle w:val="ListParagraph"/>
              <w:numPr>
                <w:ilvl w:val="0"/>
                <w:numId w:val="4"/>
              </w:numPr>
              <w:spacing w:after="60"/>
            </w:pPr>
            <w:r>
              <w:rPr>
                <w:rFonts w:ascii="Arial" w:cs="Arial" w:eastAsia="Arial" w:hAnsi="Arial"/>
                <w:color w:val="172B2A"/>
                <w:sz w:val="19"/>
                <w:szCs w:val="19"/>
              </w:rPr>
              <w:t xml:space="preserve">Compte rendu transmis sous 24 heures sur la plateforme de la commune</w:t>
            </w:r>
          </w:p>
        </w:tc>
      </w:tr>
    </w:tbl>
    <w:p>
      <w:pPr>
        <w:spacing w:after="160"/>
      </w:pPr>
    </w:p>
    <w:p>
      <w:pPr>
        <w:spacing w:after="120" w:line="288"/>
      </w:pPr>
      <w:r>
        <w:rPr>
          <w:rFonts w:ascii="Arial" w:cs="Arial" w:eastAsia="Arial" w:hAnsi="Arial"/>
          <w:color w:val="5F6F6D"/>
        </w:rPr>
        <w:t xml:space="preserve">[étapes, de la commande à la réception, avec délais et documents]</w:t>
      </w:r>
    </w:p>
    <w:p>
      <w:pPr>
        <w:pStyle w:val="Heading2"/>
      </w:pPr>
      <w:r>
        <w:rPr>
          <w:rFonts w:ascii="Arial" w:cs="Arial" w:eastAsia="Arial" w:hAnsi="Arial"/>
          <w:color w:val="1B4B46"/>
        </w:rPr>
        <w:t xml:space="preserve">4.3 Demandes urgentes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FE3DC" w:sz="4"/>
              <w:left w:val="single" w:color="2F7F71" w:sz="24"/>
              <w:bottom w:val="single" w:color="CFE3DC" w:sz="4"/>
              <w:right w:val="single" w:color="CFE3DC" w:sz="4"/>
            </w:tcBorders>
            <w:shd w:fill="EEF5F2" w:color="auto" w:val="clear"/>
            <w:tcMar>
              <w:top w:type="dxa" w:w="140"/>
              <w:left w:type="dxa" w:w="220"/>
              <w:bottom w:type="dxa" w:w="100"/>
              <w:right w:type="dxa" w:w="220"/>
            </w:tcMar>
          </w:tcPr>
          <w:p>
            <w:pPr>
              <w:spacing w:after="80"/>
            </w:pPr>
            <w:r>
              <w:rPr>
                <w:rFonts w:ascii="Arial" w:cs="Arial" w:eastAsia="Arial" w:hAnsi="Arial"/>
                <w:b/>
                <w:bCs/>
                <w:color w:val="2F7F71"/>
                <w:spacing w:val="20"/>
                <w:sz w:val="16"/>
                <w:szCs w:val="16"/>
              </w:rPr>
              <w:t xml:space="preserve">EXEMPLE RÉDIGÉ – À SUPPRIMER</w:t>
            </w:r>
          </w:p>
          <w:p>
            <w:pPr>
              <w:spacing w:after="40"/>
            </w:pPr>
            <w:r>
              <w:rPr>
                <w:rFonts w:ascii="Arial" w:cs="Arial" w:eastAsia="Arial" w:hAnsi="Arial"/>
                <w:color w:val="172B2A"/>
                <w:sz w:val="19"/>
                <w:szCs w:val="19"/>
              </w:rPr>
              <w:t xml:space="preserve">Arbre ou branche menaçant la sécurité : mise en sécurité sous 4 heures, 7 jours sur 7, grâce à une astreinte téléphonique de novembre à mars. Les autres demandes non programmées sont traitées sous 48 heures.</w:t>
            </w:r>
          </w:p>
        </w:tc>
      </w:tr>
    </w:tbl>
    <w:p>
      <w:pPr>
        <w:spacing w:after="160"/>
      </w:pPr>
    </w:p>
    <w:p>
      <w:pPr>
        <w:spacing w:after="120" w:line="288"/>
      </w:pPr>
      <w:r>
        <w:rPr>
          <w:rFonts w:ascii="Arial" w:cs="Arial" w:eastAsia="Arial" w:hAnsi="Arial"/>
          <w:color w:val="5F6F6D"/>
        </w:rPr>
        <w:t xml:space="preserve">[délais chiffrés par type de demande, astreinte, circuit d’alerte]</w:t>
      </w:r>
    </w:p>
    <w:p>
      <w:pPr>
        <w:pStyle w:val="Heading2"/>
      </w:pPr>
      <w:r>
        <w:rPr>
          <w:rFonts w:ascii="Arial" w:cs="Arial" w:eastAsia="Arial" w:hAnsi="Arial"/>
          <w:color w:val="1B4B46"/>
        </w:rPr>
        <w:t xml:space="preserve">4.4 Suivi et comptes rendus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FE3DC" w:sz="4"/>
              <w:left w:val="single" w:color="2F7F71" w:sz="24"/>
              <w:bottom w:val="single" w:color="CFE3DC" w:sz="4"/>
              <w:right w:val="single" w:color="CFE3DC" w:sz="4"/>
            </w:tcBorders>
            <w:shd w:fill="EEF5F2" w:color="auto" w:val="clear"/>
            <w:tcMar>
              <w:top w:type="dxa" w:w="140"/>
              <w:left w:type="dxa" w:w="220"/>
              <w:bottom w:type="dxa" w:w="100"/>
              <w:right w:type="dxa" w:w="220"/>
            </w:tcMar>
          </w:tcPr>
          <w:p>
            <w:pPr>
              <w:spacing w:after="80"/>
            </w:pPr>
            <w:r>
              <w:rPr>
                <w:rFonts w:ascii="Arial" w:cs="Arial" w:eastAsia="Arial" w:hAnsi="Arial"/>
                <w:b/>
                <w:bCs/>
                <w:color w:val="2F7F71"/>
                <w:spacing w:val="20"/>
                <w:sz w:val="16"/>
                <w:szCs w:val="16"/>
              </w:rPr>
              <w:t xml:space="preserve">EXEMPLE RÉDIGÉ – À SUPPRIMER</w:t>
            </w:r>
          </w:p>
          <w:p>
            <w:pPr>
              <w:spacing w:after="40"/>
            </w:pPr>
            <w:r>
              <w:rPr>
                <w:rFonts w:ascii="Arial" w:cs="Arial" w:eastAsia="Arial" w:hAnsi="Arial"/>
                <w:color w:val="172B2A"/>
                <w:sz w:val="19"/>
                <w:szCs w:val="19"/>
              </w:rPr>
              <w:t xml:space="preserve">Un compte rendu mensuel présente les prestations réalisées, les écarts et les actions prévues. Une réunion trimestrielle fait le point sur trois indicateurs : taux de réalisation du planning, respect des délais d’intervention, nombre de réclamations.</w:t>
            </w:r>
          </w:p>
        </w:tc>
      </w:tr>
    </w:tbl>
    <w:p>
      <w:pPr>
        <w:spacing w:after="160"/>
      </w:pPr>
    </w:p>
    <w:p>
      <w:pPr>
        <w:spacing w:after="120" w:line="288"/>
      </w:pPr>
      <w:r>
        <w:rPr>
          <w:rFonts w:ascii="Arial" w:cs="Arial" w:eastAsia="Arial" w:hAnsi="Arial"/>
          <w:color w:val="5F6F6D"/>
        </w:rPr>
        <w:t xml:space="preserve">[fréquence et contenu des comptes rendus, réunions, indicateurs]</w:t>
      </w:r>
    </w:p>
    <w:p>
      <w:r>
        <w:br w:type="page"/>
      </w:r>
    </w:p>
    <w:p>
      <w:pPr>
        <w:pStyle w:val="Heading1"/>
      </w:pPr>
      <w:r>
        <w:rPr>
          <w:rFonts w:ascii="Arial" w:cs="Arial" w:eastAsia="Arial" w:hAnsi="Arial"/>
          <w:color w:val="1B4B46"/>
        </w:rPr>
        <w:t xml:space="preserve">5. Planning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9D6CD" w:sz="4"/>
              <w:left w:val="single" w:color="C5870D" w:sz="24"/>
              <w:bottom w:val="single" w:color="D9D6CD" w:sz="4"/>
              <w:right w:val="single" w:color="D9D6CD" w:sz="4"/>
            </w:tcBorders>
            <w:shd w:fill="FFFAF2" w:color="auto" w:val="clear"/>
            <w:tcMar>
              <w:top w:type="dxa" w:w="140"/>
              <w:left w:type="dxa" w:w="220"/>
              <w:bottom w:type="dxa" w:w="100"/>
              <w:right w:type="dxa" w:w="220"/>
            </w:tcMar>
          </w:tcPr>
          <w:p>
            <w:pPr>
              <w:spacing w:after="80"/>
            </w:pPr>
            <w:r>
              <w:rPr>
                <w:rFonts w:ascii="Arial" w:cs="Arial" w:eastAsia="Arial" w:hAnsi="Arial"/>
                <w:b/>
                <w:bCs/>
                <w:color w:val="1B4B46"/>
                <w:spacing w:val="20"/>
                <w:sz w:val="16"/>
                <w:szCs w:val="16"/>
              </w:rPr>
              <w:t xml:space="preserve">CONSIGNE – À SUPPRIMER AVANT LE DÉPÔT</w:t>
            </w:r>
          </w:p>
          <w:p>
            <w:pPr>
              <w:spacing w:after="120" w:line="288"/>
            </w:pPr>
            <w:r>
              <w:rPr>
                <w:rFonts w:ascii="Arial" w:cs="Arial" w:eastAsia="Arial" w:hAnsi="Arial"/>
                <w:b/>
                <w:bCs/>
                <w:color w:val="1B4B46"/>
                <w:sz w:val="20"/>
                <w:szCs w:val="20"/>
              </w:rPr>
              <w:t xml:space="preserve">Ce que l’acheteur évalue : </w:t>
            </w:r>
            <w:r>
              <w:rPr>
                <w:rFonts w:ascii="Arial" w:cs="Arial" w:eastAsia="Arial" w:hAnsi="Arial"/>
                <w:color w:val="1B4B46"/>
                <w:sz w:val="20"/>
                <w:szCs w:val="20"/>
              </w:rPr>
              <w:t xml:space="preserve">Un calendrier réaliste, compatible avec les délais du CCTP, vos moyens et votre prix.</w:t>
            </w:r>
          </w:p>
          <w:p>
            <w:pPr>
              <w:pStyle w:val="ListParagraph"/>
              <w:numPr>
                <w:ilvl w:val="0"/>
                <w:numId w:val="3"/>
              </w:numPr>
              <w:spacing w:after="60" w:line="276"/>
            </w:pPr>
            <w:r>
              <w:rPr>
                <w:rFonts w:ascii="Arial" w:cs="Arial" w:eastAsia="Arial" w:hAnsi="Arial"/>
                <w:color w:val="5F6F6D"/>
                <w:sz w:val="19"/>
                <w:szCs w:val="19"/>
              </w:rPr>
              <w:t xml:space="preserve">Présentez les étapes et leur période, ou un calendrier annuel pour un marché d’entretien.</w:t>
            </w:r>
          </w:p>
          <w:p>
            <w:pPr>
              <w:pStyle w:val="ListParagraph"/>
              <w:numPr>
                <w:ilvl w:val="0"/>
                <w:numId w:val="3"/>
              </w:numPr>
              <w:spacing w:after="60" w:line="276"/>
            </w:pPr>
            <w:r>
              <w:rPr>
                <w:rFonts w:ascii="Arial" w:cs="Arial" w:eastAsia="Arial" w:hAnsi="Arial"/>
                <w:color w:val="5F6F6D"/>
                <w:sz w:val="19"/>
                <w:szCs w:val="19"/>
              </w:rPr>
              <w:t xml:space="preserve">Faites apparaître les jalons fixés par l’acheteur.</w:t>
            </w:r>
          </w:p>
          <w:p>
            <w:pPr>
              <w:spacing w:after="40" w:before="60"/>
            </w:pPr>
            <w:r>
              <w:rPr>
                <w:rFonts w:ascii="Arial" w:cs="Arial" w:eastAsia="Arial" w:hAnsi="Arial"/>
                <w:b/>
                <w:bCs/>
                <w:color w:val="C5870D"/>
                <w:sz w:val="19"/>
                <w:szCs w:val="19"/>
              </w:rPr>
              <w:t xml:space="preserve">À éviter : </w:t>
            </w:r>
            <w:r>
              <w:rPr>
                <w:rFonts w:ascii="Arial" w:cs="Arial" w:eastAsia="Arial" w:hAnsi="Arial"/>
                <w:color w:val="5F6F6D"/>
                <w:sz w:val="19"/>
                <w:szCs w:val="19"/>
              </w:rPr>
              <w:t xml:space="preserve">Un planning qui ne tient pas avec les effectifs annoncés.</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FE3DC" w:sz="4"/>
              <w:left w:val="single" w:color="2F7F71" w:sz="24"/>
              <w:bottom w:val="single" w:color="CFE3DC" w:sz="4"/>
              <w:right w:val="single" w:color="CFE3DC" w:sz="4"/>
            </w:tcBorders>
            <w:shd w:fill="EEF5F2" w:color="auto" w:val="clear"/>
            <w:tcMar>
              <w:top w:type="dxa" w:w="140"/>
              <w:left w:type="dxa" w:w="220"/>
              <w:bottom w:type="dxa" w:w="100"/>
              <w:right w:type="dxa" w:w="220"/>
            </w:tcMar>
          </w:tcPr>
          <w:p>
            <w:pPr>
              <w:spacing w:after="80"/>
            </w:pPr>
            <w:r>
              <w:rPr>
                <w:rFonts w:ascii="Arial" w:cs="Arial" w:eastAsia="Arial" w:hAnsi="Arial"/>
                <w:b/>
                <w:bCs/>
                <w:color w:val="2F7F71"/>
                <w:spacing w:val="20"/>
                <w:sz w:val="16"/>
                <w:szCs w:val="16"/>
              </w:rPr>
              <w:t xml:space="preserve">EXEMPLE RÉDIGÉ – À SUPPRIMER</w:t>
            </w:r>
          </w:p>
          <w:tbl>
            <w:tblPr>
              <w:tblW w:type="dxa" w:w="9158"/>
              <w:tblBorders>
                <w:top w:val="single" w:color="auto" w:sz="4"/>
                <w:left w:val="single" w:color="auto" w:sz="4"/>
                <w:bottom w:val="single" w:color="auto" w:sz="4"/>
                <w:right w:val="single" w:color="auto" w:sz="4"/>
                <w:insideH w:val="single" w:color="auto" w:sz="4"/>
                <w:insideV w:val="single" w:color="auto" w:sz="4"/>
              </w:tblBorders>
            </w:tblPr>
            <w:tblGrid>
              <w:gridCol w:w="2931"/>
              <w:gridCol w:w="6227"/>
            </w:tblGrid>
            <w:tr>
              <w:trPr>
                <w:tblHeader/>
              </w:trPr>
              <w:tc>
                <w:tcPr>
                  <w:tcW w:type="dxa" w:w="2931"/>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Période</w:t>
                  </w:r>
                </w:p>
              </w:tc>
              <w:tc>
                <w:tcPr>
                  <w:tcW w:type="dxa" w:w="6227"/>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Prestations principales</w:t>
                  </w:r>
                </w:p>
              </w:tc>
            </w:tr>
            <w:tr>
              <w:tc>
                <w:tcPr>
                  <w:tcW w:type="dxa" w:w="2931"/>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Janvier – février</w:t>
                  </w:r>
                </w:p>
              </w:tc>
              <w:tc>
                <w:tcPr>
                  <w:tcW w:type="dxa" w:w="6227"/>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Taille des arbustes, élagage léger, entretien du matériel</w:t>
                  </w:r>
                </w:p>
              </w:tc>
            </w:tr>
            <w:tr>
              <w:tc>
                <w:tcPr>
                  <w:tcW w:type="dxa" w:w="2931"/>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Mars</w:t>
                  </w:r>
                </w:p>
              </w:tc>
              <w:tc>
                <w:tcPr>
                  <w:tcW w:type="dxa" w:w="6227"/>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Reprise des tontes, désherbage mécanique et thermique</w:t>
                  </w:r>
                </w:p>
              </w:tc>
            </w:tr>
            <w:tr>
              <w:tc>
                <w:tcPr>
                  <w:tcW w:type="dxa" w:w="2931"/>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Avril – juin</w:t>
                  </w:r>
                </w:p>
              </w:tc>
              <w:tc>
                <w:tcPr>
                  <w:tcW w:type="dxa" w:w="6227"/>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Tontes tous les 15 jours en niveau soigné, renfort saisonnier</w:t>
                  </w:r>
                </w:p>
              </w:tc>
            </w:tr>
            <w:tr>
              <w:tc>
                <w:tcPr>
                  <w:tcW w:type="dxa" w:w="2931"/>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Juillet – août</w:t>
                  </w:r>
                </w:p>
              </w:tc>
              <w:tc>
                <w:tcPr>
                  <w:tcW w:type="dxa" w:w="6227"/>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Arrosage des plantations récentes, tontes espacées</w:t>
                  </w:r>
                </w:p>
              </w:tc>
            </w:tr>
            <w:tr>
              <w:tc>
                <w:tcPr>
                  <w:tcW w:type="dxa" w:w="2931"/>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Septembre – octobre</w:t>
                  </w:r>
                </w:p>
              </w:tc>
              <w:tc>
                <w:tcPr>
                  <w:tcW w:type="dxa" w:w="6227"/>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Cimetière prêt pour la Toussaint, ramassage des feuilles</w:t>
                  </w:r>
                </w:p>
              </w:tc>
            </w:tr>
            <w:tr>
              <w:tc>
                <w:tcPr>
                  <w:tcW w:type="dxa" w:w="2931"/>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Novembre – décembre</w:t>
                  </w:r>
                </w:p>
              </w:tc>
              <w:tc>
                <w:tcPr>
                  <w:tcW w:type="dxa" w:w="6227"/>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Plantations, ramassage des feuilles, astreinte tempêtes</w:t>
                  </w:r>
                </w:p>
              </w:tc>
            </w:tr>
          </w:tbl>
          <w:p>
            <w:pPr>
              <w:spacing w:after="60"/>
            </w:pP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84"/>
        <w:gridCol w:w="6554"/>
      </w:tblGrid>
      <w:tr>
        <w:trPr>
          <w:tblHeader/>
        </w:trPr>
        <w:tc>
          <w:tcPr>
            <w:tcW w:type="dxa" w:w="3084"/>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Étape ou période</w:t>
            </w:r>
          </w:p>
        </w:tc>
        <w:tc>
          <w:tcPr>
            <w:tcW w:type="dxa" w:w="6554"/>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Prestations et livrables</w:t>
            </w:r>
          </w:p>
        </w:tc>
      </w:tr>
      <w:tr>
        <w:tc>
          <w:tcPr>
            <w:tcW w:type="dxa" w:w="3084"/>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[période]</w:t>
            </w:r>
          </w:p>
        </w:tc>
        <w:tc>
          <w:tcPr>
            <w:tcW w:type="dxa" w:w="6554"/>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[prestations, jalon de l’acheteur]</w:t>
            </w:r>
          </w:p>
        </w:tc>
      </w:tr>
      <w:tr>
        <w:tc>
          <w:tcPr>
            <w:tcW w:type="dxa" w:w="3084"/>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[période]</w:t>
            </w:r>
          </w:p>
        </w:tc>
        <w:tc>
          <w:tcPr>
            <w:tcW w:type="dxa" w:w="6554"/>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[prestations, jalon de l’acheteur]</w:t>
            </w:r>
          </w:p>
        </w:tc>
      </w:tr>
      <w:tr>
        <w:tc>
          <w:tcPr>
            <w:tcW w:type="dxa" w:w="3084"/>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[période]</w:t>
            </w:r>
          </w:p>
        </w:tc>
        <w:tc>
          <w:tcPr>
            <w:tcW w:type="dxa" w:w="6554"/>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[prestations, jalon de l’acheteur]</w:t>
            </w:r>
          </w:p>
        </w:tc>
      </w:tr>
    </w:tbl>
    <w:p>
      <w:pPr>
        <w:spacing w:after="120"/>
      </w:pPr>
    </w:p>
    <w:p>
      <w:r>
        <w:br w:type="page"/>
      </w:r>
    </w:p>
    <w:p>
      <w:pPr>
        <w:pStyle w:val="Heading1"/>
      </w:pPr>
      <w:r>
        <w:rPr>
          <w:rFonts w:ascii="Arial" w:cs="Arial" w:eastAsia="Arial" w:hAnsi="Arial"/>
          <w:color w:val="1B4B46"/>
        </w:rPr>
        <w:t xml:space="preserve">6. Qualité, contrôle et gestion des risques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9D6CD" w:sz="4"/>
              <w:left w:val="single" w:color="C5870D" w:sz="24"/>
              <w:bottom w:val="single" w:color="D9D6CD" w:sz="4"/>
              <w:right w:val="single" w:color="D9D6CD" w:sz="4"/>
            </w:tcBorders>
            <w:shd w:fill="FFFAF2" w:color="auto" w:val="clear"/>
            <w:tcMar>
              <w:top w:type="dxa" w:w="140"/>
              <w:left w:type="dxa" w:w="220"/>
              <w:bottom w:type="dxa" w:w="100"/>
              <w:right w:type="dxa" w:w="220"/>
            </w:tcMar>
          </w:tcPr>
          <w:p>
            <w:pPr>
              <w:spacing w:after="80"/>
            </w:pPr>
            <w:r>
              <w:rPr>
                <w:rFonts w:ascii="Arial" w:cs="Arial" w:eastAsia="Arial" w:hAnsi="Arial"/>
                <w:b/>
                <w:bCs/>
                <w:color w:val="1B4B46"/>
                <w:spacing w:val="20"/>
                <w:sz w:val="16"/>
                <w:szCs w:val="16"/>
              </w:rPr>
              <w:t xml:space="preserve">CONSIGNE – À SUPPRIMER AVANT LE DÉPÔT</w:t>
            </w:r>
          </w:p>
          <w:p>
            <w:pPr>
              <w:spacing w:after="120" w:line="288"/>
            </w:pPr>
            <w:r>
              <w:rPr>
                <w:rFonts w:ascii="Arial" w:cs="Arial" w:eastAsia="Arial" w:hAnsi="Arial"/>
                <w:b/>
                <w:bCs/>
                <w:color w:val="1B4B46"/>
                <w:sz w:val="20"/>
                <w:szCs w:val="20"/>
              </w:rPr>
              <w:t xml:space="preserve">Ce que l’acheteur évalue : </w:t>
            </w:r>
            <w:r>
              <w:rPr>
                <w:rFonts w:ascii="Arial" w:cs="Arial" w:eastAsia="Arial" w:hAnsi="Arial"/>
                <w:color w:val="1B4B46"/>
                <w:sz w:val="20"/>
                <w:szCs w:val="20"/>
              </w:rPr>
              <w:t xml:space="preserve">La façon dont vous vérifiez votre travail et réagissez quand il n’est pas conforme.</w:t>
            </w:r>
          </w:p>
          <w:p>
            <w:pPr>
              <w:pStyle w:val="ListParagraph"/>
              <w:numPr>
                <w:ilvl w:val="0"/>
                <w:numId w:val="3"/>
              </w:numPr>
              <w:spacing w:after="60" w:line="276"/>
            </w:pPr>
            <w:r>
              <w:rPr>
                <w:rFonts w:ascii="Arial" w:cs="Arial" w:eastAsia="Arial" w:hAnsi="Arial"/>
                <w:color w:val="5F6F6D"/>
                <w:sz w:val="19"/>
                <w:szCs w:val="19"/>
              </w:rPr>
              <w:t xml:space="preserve">Décrivez vos autocontrôles et les contrôles faits avec l’acheteur.</w:t>
            </w:r>
          </w:p>
          <w:p>
            <w:pPr>
              <w:pStyle w:val="ListParagraph"/>
              <w:numPr>
                <w:ilvl w:val="0"/>
                <w:numId w:val="3"/>
              </w:numPr>
              <w:spacing w:after="60" w:line="276"/>
            </w:pPr>
            <w:r>
              <w:rPr>
                <w:rFonts w:ascii="Arial" w:cs="Arial" w:eastAsia="Arial" w:hAnsi="Arial"/>
                <w:color w:val="5F6F6D"/>
                <w:sz w:val="19"/>
                <w:szCs w:val="19"/>
              </w:rPr>
              <w:t xml:space="preserve">Donnez un délai de reprise en cas de non-conformité.</w:t>
            </w:r>
          </w:p>
          <w:p>
            <w:pPr>
              <w:pStyle w:val="ListParagraph"/>
              <w:numPr>
                <w:ilvl w:val="0"/>
                <w:numId w:val="3"/>
              </w:numPr>
              <w:spacing w:after="60" w:line="276"/>
            </w:pPr>
            <w:r>
              <w:rPr>
                <w:rFonts w:ascii="Arial" w:cs="Arial" w:eastAsia="Arial" w:hAnsi="Arial"/>
                <w:color w:val="5F6F6D"/>
                <w:sz w:val="19"/>
                <w:szCs w:val="19"/>
              </w:rPr>
              <w:t xml:space="preserve">Listez les risques propres au marché, avec prévention et réponse.</w:t>
            </w:r>
          </w:p>
          <w:p>
            <w:pPr>
              <w:spacing w:after="40" w:before="60"/>
            </w:pPr>
            <w:r>
              <w:rPr>
                <w:rFonts w:ascii="Arial" w:cs="Arial" w:eastAsia="Arial" w:hAnsi="Arial"/>
                <w:b/>
                <w:bCs/>
                <w:color w:val="C5870D"/>
                <w:sz w:val="19"/>
                <w:szCs w:val="19"/>
              </w:rPr>
              <w:t xml:space="preserve">À éviter : </w:t>
            </w:r>
            <w:r>
              <w:rPr>
                <w:rFonts w:ascii="Arial" w:cs="Arial" w:eastAsia="Arial" w:hAnsi="Arial"/>
                <w:color w:val="5F6F6D"/>
                <w:sz w:val="19"/>
                <w:szCs w:val="19"/>
              </w:rPr>
              <w:t xml:space="preserve">Des risques génériques qui pourraient concerner n’importe quel marché.</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FE3DC" w:sz="4"/>
              <w:left w:val="single" w:color="2F7F71" w:sz="24"/>
              <w:bottom w:val="single" w:color="CFE3DC" w:sz="4"/>
              <w:right w:val="single" w:color="CFE3DC" w:sz="4"/>
            </w:tcBorders>
            <w:shd w:fill="EEF5F2" w:color="auto" w:val="clear"/>
            <w:tcMar>
              <w:top w:type="dxa" w:w="140"/>
              <w:left w:type="dxa" w:w="220"/>
              <w:bottom w:type="dxa" w:w="100"/>
              <w:right w:type="dxa" w:w="220"/>
            </w:tcMar>
          </w:tcPr>
          <w:p>
            <w:pPr>
              <w:spacing w:after="80"/>
            </w:pPr>
            <w:r>
              <w:rPr>
                <w:rFonts w:ascii="Arial" w:cs="Arial" w:eastAsia="Arial" w:hAnsi="Arial"/>
                <w:b/>
                <w:bCs/>
                <w:color w:val="2F7F71"/>
                <w:spacing w:val="20"/>
                <w:sz w:val="16"/>
                <w:szCs w:val="16"/>
              </w:rPr>
              <w:t xml:space="preserve">EXEMPLE RÉDIGÉ – À SUPPRIMER</w:t>
            </w:r>
          </w:p>
          <w:p>
            <w:pPr>
              <w:spacing w:after="120" w:line="288"/>
            </w:pPr>
            <w:r>
              <w:rPr>
                <w:rFonts w:ascii="Arial" w:cs="Arial" w:eastAsia="Arial" w:hAnsi="Arial"/>
                <w:color w:val="172B2A"/>
                <w:sz w:val="19"/>
                <w:szCs w:val="19"/>
              </w:rPr>
              <w:t xml:space="preserve">Le chef d’équipe remplit une grille de contrôle par site à chaque passage. Un contrôle contradictoire mensuel est proposé à la commune sur un échantillon de sites. Toute non-conformité constatée est reprise sous 48 heures.</w:t>
            </w:r>
          </w:p>
          <w:tbl>
            <w:tblPr>
              <w:tblW w:type="dxa" w:w="9158"/>
              <w:tblBorders>
                <w:top w:val="single" w:color="auto" w:sz="4"/>
                <w:left w:val="single" w:color="auto" w:sz="4"/>
                <w:bottom w:val="single" w:color="auto" w:sz="4"/>
                <w:right w:val="single" w:color="auto" w:sz="4"/>
                <w:insideH w:val="single" w:color="auto" w:sz="4"/>
                <w:insideV w:val="single" w:color="auto" w:sz="4"/>
              </w:tblBorders>
            </w:tblPr>
            <w:tblGrid>
              <w:gridCol w:w="3297"/>
              <w:gridCol w:w="2930"/>
              <w:gridCol w:w="2931"/>
            </w:tblGrid>
            <w:tr>
              <w:trPr>
                <w:tblHeader/>
              </w:trPr>
              <w:tc>
                <w:tcPr>
                  <w:tcW w:type="dxa" w:w="3297"/>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Risque</w:t>
                  </w:r>
                </w:p>
              </w:tc>
              <w:tc>
                <w:tcPr>
                  <w:tcW w:type="dxa" w:w="2930"/>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Prévention</w:t>
                  </w:r>
                </w:p>
              </w:tc>
              <w:tc>
                <w:tcPr>
                  <w:tcW w:type="dxa" w:w="2931"/>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Réponse</w:t>
                  </w:r>
                </w:p>
              </w:tc>
            </w:tr>
            <w:tr>
              <w:tc>
                <w:tcPr>
                  <w:tcW w:type="dxa" w:w="3297"/>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Pic de végétation au printemps</w:t>
                  </w:r>
                </w:p>
              </w:tc>
              <w:tc>
                <w:tcPr>
                  <w:tcW w:type="dxa" w:w="2930"/>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Renfort saisonnier planifié dès février</w:t>
                  </w:r>
                </w:p>
              </w:tc>
              <w:tc>
                <w:tcPr>
                  <w:tcW w:type="dxa" w:w="2931"/>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Priorité aux sites en niveau soigné</w:t>
                  </w:r>
                </w:p>
              </w:tc>
            </w:tr>
            <w:tr>
              <w:tc>
                <w:tcPr>
                  <w:tcW w:type="dxa" w:w="3297"/>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Panne d’un engin</w:t>
                  </w:r>
                </w:p>
              </w:tc>
              <w:tc>
                <w:tcPr>
                  <w:tcW w:type="dxa" w:w="2930"/>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Entretien préventif mensuel</w:t>
                  </w:r>
                </w:p>
              </w:tc>
              <w:tc>
                <w:tcPr>
                  <w:tcW w:type="dxa" w:w="2931"/>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Location sous 24 heures</w:t>
                  </w:r>
                </w:p>
              </w:tc>
            </w:tr>
            <w:tr>
              <w:tc>
                <w:tcPr>
                  <w:tcW w:type="dxa" w:w="3297"/>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Absence du chef d’équipe</w:t>
                  </w:r>
                </w:p>
              </w:tc>
              <w:tc>
                <w:tcPr>
                  <w:tcW w:type="dxa" w:w="2930"/>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Adjoint désigné et formé aux sites</w:t>
                  </w:r>
                </w:p>
              </w:tc>
              <w:tc>
                <w:tcPr>
                  <w:tcW w:type="dxa" w:w="2931"/>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Remplacement le jour même</w:t>
                  </w:r>
                </w:p>
              </w:tc>
            </w:tr>
            <w:tr>
              <w:tc>
                <w:tcPr>
                  <w:tcW w:type="dxa" w:w="3297"/>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Intempéries</w:t>
                  </w:r>
                </w:p>
              </w:tc>
              <w:tc>
                <w:tcPr>
                  <w:tcW w:type="dxa" w:w="2930"/>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Suivi météo hebdomadaire</w:t>
                  </w:r>
                </w:p>
              </w:tc>
              <w:tc>
                <w:tcPr>
                  <w:tcW w:type="dxa" w:w="2931"/>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Replanification sous 48 heures</w:t>
                  </w:r>
                </w:p>
              </w:tc>
            </w:tr>
          </w:tbl>
          <w:p>
            <w:pPr>
              <w:spacing w:after="60"/>
            </w:pP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70"/>
        <w:gridCol w:w="3084"/>
        <w:gridCol w:w="3084"/>
      </w:tblGrid>
      <w:tr>
        <w:trPr>
          <w:tblHeader/>
        </w:trPr>
        <w:tc>
          <w:tcPr>
            <w:tcW w:type="dxa" w:w="3470"/>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Risque propre au marché</w:t>
            </w:r>
          </w:p>
        </w:tc>
        <w:tc>
          <w:tcPr>
            <w:tcW w:type="dxa" w:w="3084"/>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Prévention</w:t>
            </w:r>
          </w:p>
        </w:tc>
        <w:tc>
          <w:tcPr>
            <w:tcW w:type="dxa" w:w="3084"/>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Réponse</w:t>
            </w:r>
          </w:p>
        </w:tc>
      </w:tr>
      <w:tr>
        <w:tc>
          <w:tcPr>
            <w:tcW w:type="dxa" w:w="3470"/>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[risque]</w:t>
            </w:r>
          </w:p>
        </w:tc>
        <w:tc>
          <w:tcPr>
            <w:tcW w:type="dxa" w:w="3084"/>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[mesure de prévention]</w:t>
            </w:r>
          </w:p>
        </w:tc>
        <w:tc>
          <w:tcPr>
            <w:tcW w:type="dxa" w:w="3084"/>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[réponse et délai]</w:t>
            </w:r>
          </w:p>
        </w:tc>
      </w:tr>
      <w:tr>
        <w:tc>
          <w:tcPr>
            <w:tcW w:type="dxa" w:w="3470"/>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[risque]</w:t>
            </w:r>
          </w:p>
        </w:tc>
        <w:tc>
          <w:tcPr>
            <w:tcW w:type="dxa" w:w="3084"/>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[mesure de prévention]</w:t>
            </w:r>
          </w:p>
        </w:tc>
        <w:tc>
          <w:tcPr>
            <w:tcW w:type="dxa" w:w="3084"/>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[réponse et délai]</w:t>
            </w:r>
          </w:p>
        </w:tc>
      </w:tr>
    </w:tbl>
    <w:p>
      <w:pPr>
        <w:spacing w:after="120"/>
      </w:pPr>
    </w:p>
    <w:p>
      <w:pPr>
        <w:pStyle w:val="ListParagraph"/>
        <w:numPr>
          <w:ilvl w:val="0"/>
          <w:numId w:val="3"/>
        </w:numPr>
        <w:spacing w:after="60" w:line="276"/>
      </w:pPr>
      <w:r>
        <w:rPr>
          <w:rFonts w:ascii="Arial" w:cs="Arial" w:eastAsia="Arial" w:hAnsi="Arial"/>
          <w:color w:val="172B2A"/>
        </w:rPr>
        <w:t xml:space="preserve">Autocontrôles : [méthode et fréquence]</w:t>
      </w:r>
    </w:p>
    <w:p>
      <w:pPr>
        <w:pStyle w:val="ListParagraph"/>
        <w:numPr>
          <w:ilvl w:val="0"/>
          <w:numId w:val="3"/>
        </w:numPr>
        <w:spacing w:after="60" w:line="276"/>
      </w:pPr>
      <w:r>
        <w:rPr>
          <w:rFonts w:ascii="Arial" w:cs="Arial" w:eastAsia="Arial" w:hAnsi="Arial"/>
          <w:color w:val="172B2A"/>
        </w:rPr>
        <w:t xml:space="preserve">Contrôles avec l’acheteur : [fréquence et format]</w:t>
      </w:r>
    </w:p>
    <w:p>
      <w:pPr>
        <w:pStyle w:val="ListParagraph"/>
        <w:numPr>
          <w:ilvl w:val="0"/>
          <w:numId w:val="3"/>
        </w:numPr>
        <w:spacing w:after="60" w:line="276"/>
      </w:pPr>
      <w:r>
        <w:rPr>
          <w:rFonts w:ascii="Arial" w:cs="Arial" w:eastAsia="Arial" w:hAnsi="Arial"/>
          <w:color w:val="172B2A"/>
        </w:rPr>
        <w:t xml:space="preserve">Non-conformité : [délai de reprise, information de l’acheteur]</w:t>
      </w:r>
    </w:p>
    <w:p>
      <w:r>
        <w:br w:type="page"/>
      </w:r>
    </w:p>
    <w:p>
      <w:pPr>
        <w:pStyle w:val="Heading1"/>
      </w:pPr>
      <w:r>
        <w:rPr>
          <w:rFonts w:ascii="Arial" w:cs="Arial" w:eastAsia="Arial" w:hAnsi="Arial"/>
          <w:color w:val="1B4B46"/>
        </w:rPr>
        <w:t xml:space="preserve">7. Sécurité et santé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9D6CD" w:sz="4"/>
              <w:left w:val="single" w:color="C5870D" w:sz="24"/>
              <w:bottom w:val="single" w:color="D9D6CD" w:sz="4"/>
              <w:right w:val="single" w:color="D9D6CD" w:sz="4"/>
            </w:tcBorders>
            <w:shd w:fill="FFFAF2" w:color="auto" w:val="clear"/>
            <w:tcMar>
              <w:top w:type="dxa" w:w="140"/>
              <w:left w:type="dxa" w:w="220"/>
              <w:bottom w:type="dxa" w:w="100"/>
              <w:right w:type="dxa" w:w="220"/>
            </w:tcMar>
          </w:tcPr>
          <w:p>
            <w:pPr>
              <w:spacing w:after="80"/>
            </w:pPr>
            <w:r>
              <w:rPr>
                <w:rFonts w:ascii="Arial" w:cs="Arial" w:eastAsia="Arial" w:hAnsi="Arial"/>
                <w:b/>
                <w:bCs/>
                <w:color w:val="1B4B46"/>
                <w:spacing w:val="20"/>
                <w:sz w:val="16"/>
                <w:szCs w:val="16"/>
              </w:rPr>
              <w:t xml:space="preserve">CONSIGNE – À SUPPRIMER AVANT LE DÉPÔT</w:t>
            </w:r>
          </w:p>
          <w:p>
            <w:pPr>
              <w:spacing w:after="120" w:line="288"/>
            </w:pPr>
            <w:r>
              <w:rPr>
                <w:rFonts w:ascii="Arial" w:cs="Arial" w:eastAsia="Arial" w:hAnsi="Arial"/>
                <w:b/>
                <w:bCs/>
                <w:color w:val="1B4B46"/>
                <w:sz w:val="20"/>
                <w:szCs w:val="20"/>
              </w:rPr>
              <w:t xml:space="preserve">Ce que l’acheteur évalue : </w:t>
            </w:r>
            <w:r>
              <w:rPr>
                <w:rFonts w:ascii="Arial" w:cs="Arial" w:eastAsia="Arial" w:hAnsi="Arial"/>
                <w:color w:val="1B4B46"/>
                <w:sz w:val="20"/>
                <w:szCs w:val="20"/>
              </w:rPr>
              <w:t xml:space="preserve">La protection de vos équipes et du public, surtout sur les sites fréquentés.</w:t>
            </w:r>
          </w:p>
          <w:p>
            <w:pPr>
              <w:pStyle w:val="ListParagraph"/>
              <w:numPr>
                <w:ilvl w:val="0"/>
                <w:numId w:val="3"/>
              </w:numPr>
              <w:spacing w:after="60" w:line="276"/>
            </w:pPr>
            <w:r>
              <w:rPr>
                <w:rFonts w:ascii="Arial" w:cs="Arial" w:eastAsia="Arial" w:hAnsi="Arial"/>
                <w:color w:val="5F6F6D"/>
                <w:sz w:val="19"/>
                <w:szCs w:val="19"/>
              </w:rPr>
              <w:t xml:space="preserve">Adaptez cette partie aux sites : public, enfants, circulation, travail en hauteur.</w:t>
            </w:r>
          </w:p>
          <w:p>
            <w:pPr>
              <w:pStyle w:val="ListParagraph"/>
              <w:numPr>
                <w:ilvl w:val="0"/>
                <w:numId w:val="3"/>
              </w:numPr>
              <w:spacing w:after="60" w:line="276"/>
            </w:pPr>
            <w:r>
              <w:rPr>
                <w:rFonts w:ascii="Arial" w:cs="Arial" w:eastAsia="Arial" w:hAnsi="Arial"/>
                <w:color w:val="5F6F6D"/>
                <w:sz w:val="19"/>
                <w:szCs w:val="19"/>
              </w:rPr>
              <w:t xml:space="preserve">Citez les équipements, formations et autorisations utiles à ce marché.</w:t>
            </w:r>
          </w:p>
          <w:p>
            <w:pPr>
              <w:spacing w:after="40" w:before="60"/>
            </w:pPr>
            <w:r>
              <w:rPr>
                <w:rFonts w:ascii="Arial" w:cs="Arial" w:eastAsia="Arial" w:hAnsi="Arial"/>
                <w:b/>
                <w:bCs/>
                <w:color w:val="C5870D"/>
                <w:sz w:val="19"/>
                <w:szCs w:val="19"/>
              </w:rPr>
              <w:t xml:space="preserve">À éviter : </w:t>
            </w:r>
            <w:r>
              <w:rPr>
                <w:rFonts w:ascii="Arial" w:cs="Arial" w:eastAsia="Arial" w:hAnsi="Arial"/>
                <w:color w:val="5F6F6D"/>
                <w:sz w:val="19"/>
                <w:szCs w:val="19"/>
              </w:rPr>
              <w:t xml:space="preserve">Recopier le document unique de l’entreprise.</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FE3DC" w:sz="4"/>
              <w:left w:val="single" w:color="2F7F71" w:sz="24"/>
              <w:bottom w:val="single" w:color="CFE3DC" w:sz="4"/>
              <w:right w:val="single" w:color="CFE3DC" w:sz="4"/>
            </w:tcBorders>
            <w:shd w:fill="EEF5F2" w:color="auto" w:val="clear"/>
            <w:tcMar>
              <w:top w:type="dxa" w:w="140"/>
              <w:left w:type="dxa" w:w="220"/>
              <w:bottom w:type="dxa" w:w="100"/>
              <w:right w:type="dxa" w:w="220"/>
            </w:tcMar>
          </w:tcPr>
          <w:p>
            <w:pPr>
              <w:spacing w:after="80"/>
            </w:pPr>
            <w:r>
              <w:rPr>
                <w:rFonts w:ascii="Arial" w:cs="Arial" w:eastAsia="Arial" w:hAnsi="Arial"/>
                <w:b/>
                <w:bCs/>
                <w:color w:val="2F7F71"/>
                <w:spacing w:val="20"/>
                <w:sz w:val="16"/>
                <w:szCs w:val="16"/>
              </w:rPr>
              <w:t xml:space="preserve">EXEMPLE RÉDIGÉ – À SUPPRIMER</w:t>
            </w:r>
          </w:p>
          <w:p>
            <w:pPr>
              <w:pStyle w:val="ListParagraph"/>
              <w:numPr>
                <w:ilvl w:val="0"/>
                <w:numId w:val="3"/>
              </w:numPr>
              <w:spacing w:after="60" w:line="276"/>
            </w:pPr>
            <w:r>
              <w:rPr>
                <w:rFonts w:ascii="Arial" w:cs="Arial" w:eastAsia="Arial" w:hAnsi="Arial"/>
                <w:color w:val="172B2A"/>
                <w:sz w:val="19"/>
                <w:szCs w:val="19"/>
              </w:rPr>
              <w:t xml:space="preserve">Abords des écoles : aucune intervention mécanique pendant les entrées et sorties d’élèves, zone de travail balisée.</w:t>
            </w:r>
          </w:p>
          <w:p>
            <w:pPr>
              <w:pStyle w:val="ListParagraph"/>
              <w:numPr>
                <w:ilvl w:val="0"/>
                <w:numId w:val="3"/>
              </w:numPr>
              <w:spacing w:after="60" w:line="276"/>
            </w:pPr>
            <w:r>
              <w:rPr>
                <w:rFonts w:ascii="Arial" w:cs="Arial" w:eastAsia="Arial" w:hAnsi="Arial"/>
                <w:color w:val="172B2A"/>
                <w:sz w:val="19"/>
                <w:szCs w:val="19"/>
              </w:rPr>
              <w:t xml:space="preserve">Le long des voies : signalisation temporaire et écrans de protection contre les projections lors du débroussaillage.</w:t>
            </w:r>
          </w:p>
          <w:p>
            <w:pPr>
              <w:pStyle w:val="ListParagraph"/>
              <w:numPr>
                <w:ilvl w:val="0"/>
                <w:numId w:val="3"/>
              </w:numPr>
              <w:spacing w:after="60" w:line="276"/>
            </w:pPr>
            <w:r>
              <w:rPr>
                <w:rFonts w:ascii="Arial" w:cs="Arial" w:eastAsia="Arial" w:hAnsi="Arial"/>
                <w:color w:val="172B2A"/>
                <w:sz w:val="19"/>
                <w:szCs w:val="19"/>
              </w:rPr>
              <w:t xml:space="preserve">Équipements de protection fournis et contrôlés : protections auditives, lunettes, chaussures de sécurité, vêtements haute visibilité.</w:t>
            </w:r>
          </w:p>
          <w:p>
            <w:pPr>
              <w:pStyle w:val="ListParagraph"/>
              <w:numPr>
                <w:ilvl w:val="0"/>
                <w:numId w:val="3"/>
              </w:numPr>
              <w:spacing w:after="60" w:line="276"/>
            </w:pPr>
            <w:r>
              <w:rPr>
                <w:rFonts w:ascii="Arial" w:cs="Arial" w:eastAsia="Arial" w:hAnsi="Arial"/>
                <w:color w:val="172B2A"/>
                <w:sz w:val="19"/>
                <w:szCs w:val="19"/>
              </w:rPr>
              <w:t xml:space="preserve">Autorisations de conduite et formations des agents vérifiées chaque année pour les engins utilisés.</w:t>
            </w:r>
          </w:p>
        </w:tc>
      </w:tr>
    </w:tbl>
    <w:p>
      <w:pPr>
        <w:spacing w:after="160"/>
      </w:pPr>
    </w:p>
    <w:p>
      <w:pPr>
        <w:pStyle w:val="ListParagraph"/>
        <w:numPr>
          <w:ilvl w:val="0"/>
          <w:numId w:val="3"/>
        </w:numPr>
        <w:spacing w:after="60" w:line="276"/>
      </w:pPr>
      <w:r>
        <w:rPr>
          <w:rFonts w:ascii="Arial" w:cs="Arial" w:eastAsia="Arial" w:hAnsi="Arial"/>
          <w:color w:val="172B2A"/>
        </w:rPr>
        <w:t xml:space="preserve">Mesures propres aux sites : [public, horaires, balisage]</w:t>
      </w:r>
    </w:p>
    <w:p>
      <w:pPr>
        <w:pStyle w:val="ListParagraph"/>
        <w:numPr>
          <w:ilvl w:val="0"/>
          <w:numId w:val="3"/>
        </w:numPr>
        <w:spacing w:after="60" w:line="276"/>
      </w:pPr>
      <w:r>
        <w:rPr>
          <w:rFonts w:ascii="Arial" w:cs="Arial" w:eastAsia="Arial" w:hAnsi="Arial"/>
          <w:color w:val="172B2A"/>
        </w:rPr>
        <w:t xml:space="preserve">Équipements et formations : [EPI, habilitations, autorisations]</w:t>
      </w:r>
    </w:p>
    <w:p>
      <w:r>
        <w:br w:type="page"/>
      </w:r>
    </w:p>
    <w:p>
      <w:pPr>
        <w:pStyle w:val="Heading1"/>
      </w:pPr>
      <w:r>
        <w:rPr>
          <w:rFonts w:ascii="Arial" w:cs="Arial" w:eastAsia="Arial" w:hAnsi="Arial"/>
          <w:color w:val="1B4B46"/>
        </w:rPr>
        <w:t xml:space="preserve">8. Démarche environnementale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9D6CD" w:sz="4"/>
              <w:left w:val="single" w:color="C5870D" w:sz="24"/>
              <w:bottom w:val="single" w:color="D9D6CD" w:sz="4"/>
              <w:right w:val="single" w:color="D9D6CD" w:sz="4"/>
            </w:tcBorders>
            <w:shd w:fill="FFFAF2" w:color="auto" w:val="clear"/>
            <w:tcMar>
              <w:top w:type="dxa" w:w="140"/>
              <w:left w:type="dxa" w:w="220"/>
              <w:bottom w:type="dxa" w:w="100"/>
              <w:right w:type="dxa" w:w="220"/>
            </w:tcMar>
          </w:tcPr>
          <w:p>
            <w:pPr>
              <w:spacing w:after="80"/>
            </w:pPr>
            <w:r>
              <w:rPr>
                <w:rFonts w:ascii="Arial" w:cs="Arial" w:eastAsia="Arial" w:hAnsi="Arial"/>
                <w:b/>
                <w:bCs/>
                <w:color w:val="1B4B46"/>
                <w:spacing w:val="20"/>
                <w:sz w:val="16"/>
                <w:szCs w:val="16"/>
              </w:rPr>
              <w:t xml:space="preserve">CONSIGNE – À SUPPRIMER AVANT LE DÉPÔT</w:t>
            </w:r>
          </w:p>
          <w:p>
            <w:pPr>
              <w:spacing w:after="120" w:line="288"/>
            </w:pPr>
            <w:r>
              <w:rPr>
                <w:rFonts w:ascii="Arial" w:cs="Arial" w:eastAsia="Arial" w:hAnsi="Arial"/>
                <w:b/>
                <w:bCs/>
                <w:color w:val="1B4B46"/>
                <w:sz w:val="20"/>
                <w:szCs w:val="20"/>
              </w:rPr>
              <w:t xml:space="preserve">Ce que l’acheteur évalue : </w:t>
            </w:r>
            <w:r>
              <w:rPr>
                <w:rFonts w:ascii="Arial" w:cs="Arial" w:eastAsia="Arial" w:hAnsi="Arial"/>
                <w:color w:val="1B4B46"/>
                <w:sz w:val="20"/>
                <w:szCs w:val="20"/>
              </w:rPr>
              <w:t xml:space="preserve">Des engagements mesurables, liés aux exigences du dossier, que l’acheteur pourra vérifier.</w:t>
            </w:r>
          </w:p>
          <w:p>
            <w:pPr>
              <w:pStyle w:val="ListParagraph"/>
              <w:numPr>
                <w:ilvl w:val="0"/>
                <w:numId w:val="3"/>
              </w:numPr>
              <w:spacing w:after="60" w:line="276"/>
            </w:pPr>
            <w:r>
              <w:rPr>
                <w:rFonts w:ascii="Arial" w:cs="Arial" w:eastAsia="Arial" w:hAnsi="Arial"/>
                <w:color w:val="5F6F6D"/>
                <w:sz w:val="19"/>
                <w:szCs w:val="19"/>
              </w:rPr>
              <w:t xml:space="preserve">Préférez trois engagements chiffrés à une liste de bonnes intentions.</w:t>
            </w:r>
          </w:p>
          <w:p>
            <w:pPr>
              <w:pStyle w:val="ListParagraph"/>
              <w:numPr>
                <w:ilvl w:val="0"/>
                <w:numId w:val="3"/>
              </w:numPr>
              <w:spacing w:after="60" w:line="276"/>
            </w:pPr>
            <w:r>
              <w:rPr>
                <w:rFonts w:ascii="Arial" w:cs="Arial" w:eastAsia="Arial" w:hAnsi="Arial"/>
                <w:color w:val="5F6F6D"/>
                <w:sz w:val="19"/>
                <w:szCs w:val="19"/>
              </w:rPr>
              <w:t xml:space="preserve">Pour chacun, donnez un indicateur et le justificatif que vous fournirez.</w:t>
            </w:r>
          </w:p>
          <w:p>
            <w:pPr>
              <w:spacing w:after="40" w:before="60"/>
            </w:pPr>
            <w:r>
              <w:rPr>
                <w:rFonts w:ascii="Arial" w:cs="Arial" w:eastAsia="Arial" w:hAnsi="Arial"/>
                <w:b/>
                <w:bCs/>
                <w:color w:val="C5870D"/>
                <w:sz w:val="19"/>
                <w:szCs w:val="19"/>
              </w:rPr>
              <w:t xml:space="preserve">À éviter : </w:t>
            </w:r>
            <w:r>
              <w:rPr>
                <w:rFonts w:ascii="Arial" w:cs="Arial" w:eastAsia="Arial" w:hAnsi="Arial"/>
                <w:color w:val="5F6F6D"/>
                <w:sz w:val="19"/>
                <w:szCs w:val="19"/>
              </w:rPr>
              <w:t xml:space="preserve">« Nous sommes engagés pour l’environnement » sans engagement vérifiable.</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FE3DC" w:sz="4"/>
              <w:left w:val="single" w:color="2F7F71" w:sz="24"/>
              <w:bottom w:val="single" w:color="CFE3DC" w:sz="4"/>
              <w:right w:val="single" w:color="CFE3DC" w:sz="4"/>
            </w:tcBorders>
            <w:shd w:fill="EEF5F2" w:color="auto" w:val="clear"/>
            <w:tcMar>
              <w:top w:type="dxa" w:w="140"/>
              <w:left w:type="dxa" w:w="220"/>
              <w:bottom w:type="dxa" w:w="100"/>
              <w:right w:type="dxa" w:w="220"/>
            </w:tcMar>
          </w:tcPr>
          <w:p>
            <w:pPr>
              <w:spacing w:after="80"/>
            </w:pPr>
            <w:r>
              <w:rPr>
                <w:rFonts w:ascii="Arial" w:cs="Arial" w:eastAsia="Arial" w:hAnsi="Arial"/>
                <w:b/>
                <w:bCs/>
                <w:color w:val="2F7F71"/>
                <w:spacing w:val="20"/>
                <w:sz w:val="16"/>
                <w:szCs w:val="16"/>
              </w:rPr>
              <w:t xml:space="preserve">EXEMPLE RÉDIGÉ – À SUPPRIMER</w:t>
            </w:r>
          </w:p>
          <w:p>
            <w:pPr>
              <w:spacing w:after="120" w:line="288"/>
            </w:pPr>
            <w:r>
              <w:rPr>
                <w:rFonts w:ascii="Arial" w:cs="Arial" w:eastAsia="Arial" w:hAnsi="Arial"/>
                <w:color w:val="172B2A"/>
                <w:sz w:val="19"/>
                <w:szCs w:val="19"/>
              </w:rPr>
              <w:t xml:space="preserve">Conformément au CCTP, aucun produit phytosanitaire de synthèse n’est utilisé : le désherbage est mécanique ou thermique. Nos engagements complémentaires sont suivis dans le compte rendu mensuel.</w:t>
            </w:r>
          </w:p>
          <w:tbl>
            <w:tblPr>
              <w:tblW w:type="dxa" w:w="9158"/>
              <w:tblBorders>
                <w:top w:val="single" w:color="auto" w:sz="4"/>
                <w:left w:val="single" w:color="auto" w:sz="4"/>
                <w:bottom w:val="single" w:color="auto" w:sz="4"/>
                <w:right w:val="single" w:color="auto" w:sz="4"/>
                <w:insideH w:val="single" w:color="auto" w:sz="4"/>
                <w:insideV w:val="single" w:color="auto" w:sz="4"/>
              </w:tblBorders>
            </w:tblPr>
            <w:tblGrid>
              <w:gridCol w:w="3297"/>
              <w:gridCol w:w="2930"/>
              <w:gridCol w:w="2931"/>
            </w:tblGrid>
            <w:tr>
              <w:trPr>
                <w:tblHeader/>
              </w:trPr>
              <w:tc>
                <w:tcPr>
                  <w:tcW w:type="dxa" w:w="3297"/>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Engagement</w:t>
                  </w:r>
                </w:p>
              </w:tc>
              <w:tc>
                <w:tcPr>
                  <w:tcW w:type="dxa" w:w="2930"/>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Indicateur</w:t>
                  </w:r>
                </w:p>
              </w:tc>
              <w:tc>
                <w:tcPr>
                  <w:tcW w:type="dxa" w:w="2931"/>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Justificatif</w:t>
                  </w:r>
                </w:p>
              </w:tc>
            </w:tr>
            <w:tr>
              <w:tc>
                <w:tcPr>
                  <w:tcW w:type="dxa" w:w="3297"/>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Tonte en mulching sur les pelouses compatibles</w:t>
                  </w:r>
                </w:p>
              </w:tc>
              <w:tc>
                <w:tcPr>
                  <w:tcW w:type="dxa" w:w="2930"/>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Part des surfaces tondues sans export</w:t>
                  </w:r>
                </w:p>
              </w:tc>
              <w:tc>
                <w:tcPr>
                  <w:tcW w:type="dxa" w:w="2931"/>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Relevé mensuel par site</w:t>
                  </w:r>
                </w:p>
              </w:tc>
            </w:tr>
            <w:tr>
              <w:tc>
                <w:tcPr>
                  <w:tcW w:type="dxa" w:w="3297"/>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Valorisation des déchets verts</w:t>
                  </w:r>
                </w:p>
              </w:tc>
              <w:tc>
                <w:tcPr>
                  <w:tcW w:type="dxa" w:w="2930"/>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100 % des tonnages évacués</w:t>
                  </w:r>
                </w:p>
              </w:tc>
              <w:tc>
                <w:tcPr>
                  <w:tcW w:type="dxa" w:w="2931"/>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Bons de dépôt de la plateforme de compostage</w:t>
                  </w:r>
                </w:p>
              </w:tc>
            </w:tr>
            <w:tr>
              <w:tc>
                <w:tcPr>
                  <w:tcW w:type="dxa" w:w="3297"/>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Matériel électrique aux abords des écoles</w:t>
                  </w:r>
                </w:p>
              </w:tc>
              <w:tc>
                <w:tcPr>
                  <w:tcW w:type="dxa" w:w="2930"/>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100 % des interventions</w:t>
                  </w:r>
                </w:p>
              </w:tc>
              <w:tc>
                <w:tcPr>
                  <w:tcW w:type="dxa" w:w="2931"/>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Planning et fiches d’intervention</w:t>
                  </w:r>
                </w:p>
              </w:tc>
            </w:tr>
            <w:tr>
              <w:tc>
                <w:tcPr>
                  <w:tcW w:type="dxa" w:w="3297"/>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Suivi des consommations</w:t>
                  </w:r>
                </w:p>
              </w:tc>
              <w:tc>
                <w:tcPr>
                  <w:tcW w:type="dxa" w:w="2930"/>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Litres de carburant par mois</w:t>
                  </w:r>
                </w:p>
              </w:tc>
              <w:tc>
                <w:tcPr>
                  <w:tcW w:type="dxa" w:w="2931"/>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Relevés de carte carburant</w:t>
                  </w:r>
                </w:p>
              </w:tc>
            </w:tr>
          </w:tbl>
          <w:p>
            <w:pPr>
              <w:spacing w:after="60"/>
            </w:pP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70"/>
        <w:gridCol w:w="3084"/>
        <w:gridCol w:w="3084"/>
      </w:tblGrid>
      <w:tr>
        <w:trPr>
          <w:tblHeader/>
        </w:trPr>
        <w:tc>
          <w:tcPr>
            <w:tcW w:type="dxa" w:w="3470"/>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Engagement</w:t>
            </w:r>
          </w:p>
        </w:tc>
        <w:tc>
          <w:tcPr>
            <w:tcW w:type="dxa" w:w="3084"/>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Indicateur</w:t>
            </w:r>
          </w:p>
        </w:tc>
        <w:tc>
          <w:tcPr>
            <w:tcW w:type="dxa" w:w="3084"/>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Justificatif</w:t>
            </w:r>
          </w:p>
        </w:tc>
      </w:tr>
      <w:tr>
        <w:tc>
          <w:tcPr>
            <w:tcW w:type="dxa" w:w="3470"/>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[engagement]</w:t>
            </w:r>
          </w:p>
        </w:tc>
        <w:tc>
          <w:tcPr>
            <w:tcW w:type="dxa" w:w="3084"/>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[valeur ou fréquence]</w:t>
            </w:r>
          </w:p>
        </w:tc>
        <w:tc>
          <w:tcPr>
            <w:tcW w:type="dxa" w:w="3084"/>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[document fourni]</w:t>
            </w:r>
          </w:p>
        </w:tc>
      </w:tr>
      <w:tr>
        <w:tc>
          <w:tcPr>
            <w:tcW w:type="dxa" w:w="3470"/>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[engagement]</w:t>
            </w:r>
          </w:p>
        </w:tc>
        <w:tc>
          <w:tcPr>
            <w:tcW w:type="dxa" w:w="3084"/>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[valeur ou fréquence]</w:t>
            </w:r>
          </w:p>
        </w:tc>
        <w:tc>
          <w:tcPr>
            <w:tcW w:type="dxa" w:w="3084"/>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[document fourni]</w:t>
            </w:r>
          </w:p>
        </w:tc>
      </w:tr>
      <w:tr>
        <w:tc>
          <w:tcPr>
            <w:tcW w:type="dxa" w:w="3470"/>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[engagement]</w:t>
            </w:r>
          </w:p>
        </w:tc>
        <w:tc>
          <w:tcPr>
            <w:tcW w:type="dxa" w:w="3084"/>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[valeur ou fréquence]</w:t>
            </w:r>
          </w:p>
        </w:tc>
        <w:tc>
          <w:tcPr>
            <w:tcW w:type="dxa" w:w="3084"/>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[document fourni]</w:t>
            </w:r>
          </w:p>
        </w:tc>
      </w:tr>
    </w:tbl>
    <w:p>
      <w:pPr>
        <w:spacing w:after="120"/>
      </w:pPr>
    </w:p>
    <w:p>
      <w:r>
        <w:br w:type="page"/>
      </w:r>
    </w:p>
    <w:p>
      <w:pPr>
        <w:pStyle w:val="Heading1"/>
      </w:pPr>
      <w:r>
        <w:rPr>
          <w:rFonts w:ascii="Arial" w:cs="Arial" w:eastAsia="Arial" w:hAnsi="Arial"/>
          <w:color w:val="1B4B46"/>
        </w:rPr>
        <w:t xml:space="preserve">9. Références comparables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9D6CD" w:sz="4"/>
              <w:left w:val="single" w:color="C5870D" w:sz="24"/>
              <w:bottom w:val="single" w:color="D9D6CD" w:sz="4"/>
              <w:right w:val="single" w:color="D9D6CD" w:sz="4"/>
            </w:tcBorders>
            <w:shd w:fill="FFFAF2" w:color="auto" w:val="clear"/>
            <w:tcMar>
              <w:top w:type="dxa" w:w="140"/>
              <w:left w:type="dxa" w:w="220"/>
              <w:bottom w:type="dxa" w:w="100"/>
              <w:right w:type="dxa" w:w="220"/>
            </w:tcMar>
          </w:tcPr>
          <w:p>
            <w:pPr>
              <w:spacing w:after="80"/>
            </w:pPr>
            <w:r>
              <w:rPr>
                <w:rFonts w:ascii="Arial" w:cs="Arial" w:eastAsia="Arial" w:hAnsi="Arial"/>
                <w:b/>
                <w:bCs/>
                <w:color w:val="1B4B46"/>
                <w:spacing w:val="20"/>
                <w:sz w:val="16"/>
                <w:szCs w:val="16"/>
              </w:rPr>
              <w:t xml:space="preserve">CONSIGNE – À SUPPRIMER AVANT LE DÉPÔT</w:t>
            </w:r>
          </w:p>
          <w:p>
            <w:pPr>
              <w:spacing w:after="120" w:line="288"/>
            </w:pPr>
            <w:r>
              <w:rPr>
                <w:rFonts w:ascii="Arial" w:cs="Arial" w:eastAsia="Arial" w:hAnsi="Arial"/>
                <w:b/>
                <w:bCs/>
                <w:color w:val="1B4B46"/>
                <w:sz w:val="20"/>
                <w:szCs w:val="20"/>
              </w:rPr>
              <w:t xml:space="preserve">Ce que l’acheteur évalue : </w:t>
            </w:r>
            <w:r>
              <w:rPr>
                <w:rFonts w:ascii="Arial" w:cs="Arial" w:eastAsia="Arial" w:hAnsi="Arial"/>
                <w:color w:val="1B4B46"/>
                <w:sz w:val="20"/>
                <w:szCs w:val="20"/>
              </w:rPr>
              <w:t xml:space="preserve">Selon le RC, en candidature ou dans la valeur technique : la preuve que vous avez déjà réussi un marché proche.</w:t>
            </w:r>
          </w:p>
          <w:p>
            <w:pPr>
              <w:pStyle w:val="ListParagraph"/>
              <w:numPr>
                <w:ilvl w:val="0"/>
                <w:numId w:val="3"/>
              </w:numPr>
              <w:spacing w:after="60" w:line="276"/>
            </w:pPr>
            <w:r>
              <w:rPr>
                <w:rFonts w:ascii="Arial" w:cs="Arial" w:eastAsia="Arial" w:hAnsi="Arial"/>
                <w:color w:val="5F6F6D"/>
                <w:sz w:val="19"/>
                <w:szCs w:val="19"/>
              </w:rPr>
              <w:t xml:space="preserve">Choisissez trois références proches : type d’acheteur, taille, prestations, contraintes.</w:t>
            </w:r>
          </w:p>
          <w:p>
            <w:pPr>
              <w:pStyle w:val="ListParagraph"/>
              <w:numPr>
                <w:ilvl w:val="0"/>
                <w:numId w:val="3"/>
              </w:numPr>
              <w:spacing w:after="60" w:line="276"/>
            </w:pPr>
            <w:r>
              <w:rPr>
                <w:rFonts w:ascii="Arial" w:cs="Arial" w:eastAsia="Arial" w:hAnsi="Arial"/>
                <w:color w:val="5F6F6D"/>
                <w:sz w:val="19"/>
                <w:szCs w:val="19"/>
              </w:rPr>
              <w:t xml:space="preserve">Pour chacune, dites ce qu’elle a en commun avec ce marché et joignez si possible une attestation de bonne exécution.</w:t>
            </w:r>
          </w:p>
          <w:p>
            <w:pPr>
              <w:spacing w:after="40" w:before="60"/>
            </w:pPr>
            <w:r>
              <w:rPr>
                <w:rFonts w:ascii="Arial" w:cs="Arial" w:eastAsia="Arial" w:hAnsi="Arial"/>
                <w:b/>
                <w:bCs/>
                <w:color w:val="C5870D"/>
                <w:sz w:val="19"/>
                <w:szCs w:val="19"/>
              </w:rPr>
              <w:t xml:space="preserve">À éviter : </w:t>
            </w:r>
            <w:r>
              <w:rPr>
                <w:rFonts w:ascii="Arial" w:cs="Arial" w:eastAsia="Arial" w:hAnsi="Arial"/>
                <w:color w:val="5F6F6D"/>
                <w:sz w:val="19"/>
                <w:szCs w:val="19"/>
              </w:rPr>
              <w:t xml:space="preserve">Une longue liste de clients sans lien avec le marché.</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FE3DC" w:sz="4"/>
              <w:left w:val="single" w:color="2F7F71" w:sz="24"/>
              <w:bottom w:val="single" w:color="CFE3DC" w:sz="4"/>
              <w:right w:val="single" w:color="CFE3DC" w:sz="4"/>
            </w:tcBorders>
            <w:shd w:fill="EEF5F2" w:color="auto" w:val="clear"/>
            <w:tcMar>
              <w:top w:type="dxa" w:w="140"/>
              <w:left w:type="dxa" w:w="220"/>
              <w:bottom w:type="dxa" w:w="100"/>
              <w:right w:type="dxa" w:w="220"/>
            </w:tcMar>
          </w:tcPr>
          <w:p>
            <w:pPr>
              <w:spacing w:after="80"/>
            </w:pPr>
            <w:r>
              <w:rPr>
                <w:rFonts w:ascii="Arial" w:cs="Arial" w:eastAsia="Arial" w:hAnsi="Arial"/>
                <w:b/>
                <w:bCs/>
                <w:color w:val="2F7F71"/>
                <w:spacing w:val="20"/>
                <w:sz w:val="16"/>
                <w:szCs w:val="16"/>
              </w:rPr>
              <w:t xml:space="preserve">EXEMPLE RÉDIGÉ – À SUPPRIMER</w:t>
            </w:r>
          </w:p>
          <w:tbl>
            <w:tblPr>
              <w:tblW w:type="dxa" w:w="9158"/>
              <w:tblBorders>
                <w:top w:val="single" w:color="auto" w:sz="4"/>
                <w:left w:val="single" w:color="auto" w:sz="4"/>
                <w:bottom w:val="single" w:color="auto" w:sz="4"/>
                <w:right w:val="single" w:color="auto" w:sz="4"/>
                <w:insideH w:val="single" w:color="auto" w:sz="4"/>
                <w:insideV w:val="single" w:color="auto" w:sz="4"/>
              </w:tblBorders>
            </w:tblPr>
            <w:tblGrid>
              <w:gridCol w:w="2381"/>
              <w:gridCol w:w="2259"/>
              <w:gridCol w:w="2259"/>
              <w:gridCol w:w="2259"/>
            </w:tblGrid>
            <w:tr>
              <w:trPr>
                <w:tblHeader/>
              </w:trPr>
              <w:tc>
                <w:tcPr>
                  <w:tcW w:type="dxa" w:w="2381"/>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Acheteur</w:t>
                  </w:r>
                </w:p>
              </w:tc>
              <w:tc>
                <w:tcPr>
                  <w:tcW w:type="dxa" w:w="2259"/>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Objet</w:t>
                  </w:r>
                </w:p>
              </w:tc>
              <w:tc>
                <w:tcPr>
                  <w:tcW w:type="dxa" w:w="2259"/>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Montant et durée</w:t>
                  </w:r>
                </w:p>
              </w:tc>
              <w:tc>
                <w:tcPr>
                  <w:tcW w:type="dxa" w:w="2259"/>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Points communs</w:t>
                  </w:r>
                </w:p>
              </w:tc>
            </w:tr>
            <w:tr>
              <w:tc>
                <w:tcPr>
                  <w:tcW w:type="dxa" w:w="2381"/>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Commune de 18 000 habitants</w:t>
                  </w:r>
                </w:p>
              </w:tc>
              <w:tc>
                <w:tcPr>
                  <w:tcW w:type="dxa" w:w="2259"/>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Entretien de 30 ha, dont 7 écoles</w:t>
                  </w:r>
                </w:p>
              </w:tc>
              <w:tc>
                <w:tcPr>
                  <w:tcW w:type="dxa" w:w="2259"/>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310 k€ HT, 2023-2026</w:t>
                  </w:r>
                </w:p>
              </w:tc>
              <w:tc>
                <w:tcPr>
                  <w:tcW w:type="dxa" w:w="2259"/>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Zéro phyto, abords d’écoles</w:t>
                  </w:r>
                </w:p>
              </w:tc>
            </w:tr>
            <w:tr>
              <w:tc>
                <w:tcPr>
                  <w:tcW w:type="dxa" w:w="2381"/>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Bailleur social</w:t>
                  </w:r>
                </w:p>
              </w:tc>
              <w:tc>
                <w:tcPr>
                  <w:tcW w:type="dxa" w:w="2259"/>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Espaces verts de 22 résidences</w:t>
                  </w:r>
                </w:p>
              </w:tc>
              <w:tc>
                <w:tcPr>
                  <w:tcW w:type="dxa" w:w="2259"/>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140 k€ HT par an, depuis 2022</w:t>
                  </w:r>
                </w:p>
              </w:tc>
              <w:tc>
                <w:tcPr>
                  <w:tcW w:type="dxa" w:w="2259"/>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Sites occupés, gestion différenciée</w:t>
                  </w:r>
                </w:p>
              </w:tc>
            </w:tr>
            <w:tr>
              <w:tc>
                <w:tcPr>
                  <w:tcW w:type="dxa" w:w="2381"/>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Communauté de communes</w:t>
                  </w:r>
                </w:p>
              </w:tc>
              <w:tc>
                <w:tcPr>
                  <w:tcW w:type="dxa" w:w="2259"/>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Entretien de 15 parcs d’activités</w:t>
                  </w:r>
                </w:p>
              </w:tc>
              <w:tc>
                <w:tcPr>
                  <w:tcW w:type="dxa" w:w="2259"/>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95 k€ HT par an, 2021-2024</w:t>
                  </w:r>
                </w:p>
              </w:tc>
              <w:tc>
                <w:tcPr>
                  <w:tcW w:type="dxa" w:w="2259"/>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172B2A"/>
                      <w:sz w:val="18"/>
                      <w:szCs w:val="18"/>
                    </w:rPr>
                    <w:t xml:space="preserve">Bons de commande, astreinte</w:t>
                  </w:r>
                </w:p>
              </w:tc>
            </w:tr>
          </w:tbl>
          <w:p>
            <w:pPr>
              <w:spacing w:after="60"/>
            </w:pP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6"/>
        <w:gridCol w:w="2377"/>
        <w:gridCol w:w="2377"/>
        <w:gridCol w:w="2378"/>
      </w:tblGrid>
      <w:tr>
        <w:trPr>
          <w:tblHeader/>
        </w:trPr>
        <w:tc>
          <w:tcPr>
            <w:tcW w:type="dxa" w:w="2506"/>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Acheteur</w:t>
            </w:r>
          </w:p>
        </w:tc>
        <w:tc>
          <w:tcPr>
            <w:tcW w:type="dxa" w:w="2377"/>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Objet</w:t>
            </w:r>
          </w:p>
        </w:tc>
        <w:tc>
          <w:tcPr>
            <w:tcW w:type="dxa" w:w="2377"/>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Montant et durée</w:t>
            </w:r>
          </w:p>
        </w:tc>
        <w:tc>
          <w:tcPr>
            <w:tcW w:type="dxa" w:w="2378"/>
            <w:tcBorders>
              <w:top w:val="single" w:color="CFDCD8" w:sz="4"/>
              <w:left w:val="single" w:color="CFDCD8" w:sz="4"/>
              <w:bottom w:val="single" w:color="CFDCD8" w:sz="4"/>
              <w:right w:val="single" w:color="CFDCD8" w:sz="4"/>
            </w:tcBorders>
            <w:shd w:fill="1B4B46" w:color="auto" w:val="clear"/>
            <w:tcMar>
              <w:top w:type="dxa" w:w="70"/>
              <w:left w:type="dxa" w:w="110"/>
              <w:bottom w:type="dxa" w:w="70"/>
              <w:right w:type="dxa" w:w="110"/>
            </w:tcMar>
            <w:vAlign w:val="center"/>
          </w:tcPr>
          <w:p>
            <w:pPr>
              <w:spacing w:after="0" w:line="264"/>
            </w:pPr>
            <w:r>
              <w:rPr>
                <w:rFonts w:ascii="Arial" w:cs="Arial" w:eastAsia="Arial" w:hAnsi="Arial"/>
                <w:b/>
                <w:bCs/>
                <w:color w:val="FFFFFF"/>
                <w:sz w:val="18"/>
                <w:szCs w:val="18"/>
              </w:rPr>
              <w:t xml:space="preserve">Points communs</w:t>
            </w:r>
          </w:p>
        </w:tc>
      </w:tr>
      <w:tr>
        <w:tc>
          <w:tcPr>
            <w:tcW w:type="dxa" w:w="2506"/>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[acheteur]</w:t>
            </w:r>
          </w:p>
        </w:tc>
        <w:tc>
          <w:tcPr>
            <w:tcW w:type="dxa" w:w="2377"/>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[objet et périmètre]</w:t>
            </w:r>
          </w:p>
        </w:tc>
        <w:tc>
          <w:tcPr>
            <w:tcW w:type="dxa" w:w="2377"/>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[montant, années]</w:t>
            </w:r>
          </w:p>
        </w:tc>
        <w:tc>
          <w:tcPr>
            <w:tcW w:type="dxa" w:w="2378"/>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[ce qui rapproche ce marché]</w:t>
            </w:r>
          </w:p>
        </w:tc>
      </w:tr>
      <w:tr>
        <w:tc>
          <w:tcPr>
            <w:tcW w:type="dxa" w:w="2506"/>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[acheteur]</w:t>
            </w:r>
          </w:p>
        </w:tc>
        <w:tc>
          <w:tcPr>
            <w:tcW w:type="dxa" w:w="2377"/>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[objet et périmètre]</w:t>
            </w:r>
          </w:p>
        </w:tc>
        <w:tc>
          <w:tcPr>
            <w:tcW w:type="dxa" w:w="2377"/>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[montant, années]</w:t>
            </w:r>
          </w:p>
        </w:tc>
        <w:tc>
          <w:tcPr>
            <w:tcW w:type="dxa" w:w="2378"/>
            <w:tcBorders>
              <w:top w:val="single" w:color="CFDCD8" w:sz="4"/>
              <w:left w:val="single" w:color="CFDCD8" w:sz="4"/>
              <w:bottom w:val="single" w:color="CFDCD8" w:sz="4"/>
              <w:right w:val="single" w:color="CFDCD8" w:sz="4"/>
            </w:tcBorders>
            <w:shd w:fill="F7FAF9"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[ce qui rapproche ce marché]</w:t>
            </w:r>
          </w:p>
        </w:tc>
      </w:tr>
      <w:tr>
        <w:tc>
          <w:tcPr>
            <w:tcW w:type="dxa" w:w="2506"/>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[acheteur]</w:t>
            </w:r>
          </w:p>
        </w:tc>
        <w:tc>
          <w:tcPr>
            <w:tcW w:type="dxa" w:w="2377"/>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[objet et périmètre]</w:t>
            </w:r>
          </w:p>
        </w:tc>
        <w:tc>
          <w:tcPr>
            <w:tcW w:type="dxa" w:w="2377"/>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[montant, années]</w:t>
            </w:r>
          </w:p>
        </w:tc>
        <w:tc>
          <w:tcPr>
            <w:tcW w:type="dxa" w:w="2378"/>
            <w:tcBorders>
              <w:top w:val="single" w:color="CFDCD8" w:sz="4"/>
              <w:left w:val="single" w:color="CFDCD8" w:sz="4"/>
              <w:bottom w:val="single" w:color="CFDCD8" w:sz="4"/>
              <w:right w:val="single" w:color="CFDCD8" w:sz="4"/>
            </w:tcBorders>
            <w:shd w:fill="FFFFFF" w:color="auto" w:val="clear"/>
            <w:tcMar>
              <w:top w:type="dxa" w:w="70"/>
              <w:left w:type="dxa" w:w="110"/>
              <w:bottom w:type="dxa" w:w="70"/>
              <w:right w:type="dxa" w:w="110"/>
            </w:tcMar>
            <w:vAlign w:val="center"/>
          </w:tcPr>
          <w:p>
            <w:pPr>
              <w:spacing w:after="0" w:line="264"/>
            </w:pPr>
            <w:r>
              <w:rPr>
                <w:rFonts w:ascii="Arial" w:cs="Arial" w:eastAsia="Arial" w:hAnsi="Arial"/>
                <w:b w:val="false"/>
                <w:bCs w:val="false"/>
                <w:color w:val="5F6F6D"/>
                <w:sz w:val="18"/>
                <w:szCs w:val="18"/>
              </w:rPr>
              <w:t xml:space="preserve">[ce qui rapproche ce marché]</w:t>
            </w:r>
          </w:p>
        </w:tc>
      </w:tr>
    </w:tbl>
    <w:p>
      <w:pPr>
        <w:spacing w:after="120"/>
      </w:pPr>
    </w:p>
    <w:p>
      <w:r>
        <w:br w:type="page"/>
      </w:r>
    </w:p>
    <w:p>
      <w:pPr>
        <w:pStyle w:val="Heading1"/>
      </w:pPr>
      <w:r>
        <w:rPr>
          <w:rFonts w:ascii="Arial" w:cs="Arial" w:eastAsia="Arial" w:hAnsi="Arial"/>
          <w:color w:val="1B4B46"/>
        </w:rPr>
        <w:t xml:space="preserve">10. Annexes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9D6CD" w:sz="4"/>
              <w:left w:val="single" w:color="C5870D" w:sz="24"/>
              <w:bottom w:val="single" w:color="D9D6CD" w:sz="4"/>
              <w:right w:val="single" w:color="D9D6CD" w:sz="4"/>
            </w:tcBorders>
            <w:shd w:fill="FFFAF2" w:color="auto" w:val="clear"/>
            <w:tcMar>
              <w:top w:type="dxa" w:w="140"/>
              <w:left w:type="dxa" w:w="220"/>
              <w:bottom w:type="dxa" w:w="100"/>
              <w:right w:type="dxa" w:w="220"/>
            </w:tcMar>
          </w:tcPr>
          <w:p>
            <w:pPr>
              <w:spacing w:after="80"/>
            </w:pPr>
            <w:r>
              <w:rPr>
                <w:rFonts w:ascii="Arial" w:cs="Arial" w:eastAsia="Arial" w:hAnsi="Arial"/>
                <w:b/>
                <w:bCs/>
                <w:color w:val="1B4B46"/>
                <w:spacing w:val="20"/>
                <w:sz w:val="16"/>
                <w:szCs w:val="16"/>
              </w:rPr>
              <w:t xml:space="preserve">CONSIGNE – À SUPPRIMER AVANT LE DÉPÔT</w:t>
            </w:r>
          </w:p>
          <w:p>
            <w:pPr>
              <w:spacing w:after="120" w:line="288"/>
            </w:pPr>
            <w:r>
              <w:rPr>
                <w:rFonts w:ascii="Arial" w:cs="Arial" w:eastAsia="Arial" w:hAnsi="Arial"/>
                <w:b/>
                <w:bCs/>
                <w:color w:val="1B4B46"/>
                <w:sz w:val="20"/>
                <w:szCs w:val="20"/>
              </w:rPr>
              <w:t xml:space="preserve">Ce que l’acheteur évalue : </w:t>
            </w:r>
            <w:r>
              <w:rPr>
                <w:rFonts w:ascii="Arial" w:cs="Arial" w:eastAsia="Arial" w:hAnsi="Arial"/>
                <w:color w:val="1B4B46"/>
                <w:sz w:val="20"/>
                <w:szCs w:val="20"/>
              </w:rPr>
              <w:t xml:space="preserve">Les pièces qui prouvent vos engagements, faciles à retrouver.</w:t>
            </w:r>
          </w:p>
          <w:p>
            <w:pPr>
              <w:pStyle w:val="ListParagraph"/>
              <w:numPr>
                <w:ilvl w:val="0"/>
                <w:numId w:val="3"/>
              </w:numPr>
              <w:spacing w:after="60" w:line="276"/>
            </w:pPr>
            <w:r>
              <w:rPr>
                <w:rFonts w:ascii="Arial" w:cs="Arial" w:eastAsia="Arial" w:hAnsi="Arial"/>
                <w:color w:val="5F6F6D"/>
                <w:sz w:val="19"/>
                <w:szCs w:val="19"/>
              </w:rPr>
              <w:t xml:space="preserve">Joignez seulement ce qui prouve un engagement du mémoire, et numérotez chaque annexe.</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FE3DC" w:sz="4"/>
              <w:left w:val="single" w:color="2F7F71" w:sz="24"/>
              <w:bottom w:val="single" w:color="CFE3DC" w:sz="4"/>
              <w:right w:val="single" w:color="CFE3DC" w:sz="4"/>
            </w:tcBorders>
            <w:shd w:fill="EEF5F2" w:color="auto" w:val="clear"/>
            <w:tcMar>
              <w:top w:type="dxa" w:w="140"/>
              <w:left w:type="dxa" w:w="220"/>
              <w:bottom w:type="dxa" w:w="100"/>
              <w:right w:type="dxa" w:w="220"/>
            </w:tcMar>
          </w:tcPr>
          <w:p>
            <w:pPr>
              <w:spacing w:after="80"/>
            </w:pPr>
            <w:r>
              <w:rPr>
                <w:rFonts w:ascii="Arial" w:cs="Arial" w:eastAsia="Arial" w:hAnsi="Arial"/>
                <w:b/>
                <w:bCs/>
                <w:color w:val="2F7F71"/>
                <w:spacing w:val="20"/>
                <w:sz w:val="16"/>
                <w:szCs w:val="16"/>
              </w:rPr>
              <w:t xml:space="preserve">EXEMPLE RÉDIGÉ – À SUPPRIMER</w:t>
            </w:r>
          </w:p>
          <w:p>
            <w:pPr>
              <w:pStyle w:val="ListParagraph"/>
              <w:numPr>
                <w:ilvl w:val="0"/>
                <w:numId w:val="3"/>
              </w:numPr>
              <w:spacing w:after="60" w:line="276"/>
            </w:pPr>
            <w:r>
              <w:rPr>
                <w:rFonts w:ascii="Arial" w:cs="Arial" w:eastAsia="Arial" w:hAnsi="Arial"/>
                <w:color w:val="172B2A"/>
                <w:sz w:val="19"/>
                <w:szCs w:val="19"/>
              </w:rPr>
              <w:t xml:space="preserve">Annexe 1 – CV du conducteur de travaux et du chef d’équipe</w:t>
            </w:r>
          </w:p>
          <w:p>
            <w:pPr>
              <w:pStyle w:val="ListParagraph"/>
              <w:numPr>
                <w:ilvl w:val="0"/>
                <w:numId w:val="3"/>
              </w:numPr>
              <w:spacing w:after="60" w:line="276"/>
            </w:pPr>
            <w:r>
              <w:rPr>
                <w:rFonts w:ascii="Arial" w:cs="Arial" w:eastAsia="Arial" w:hAnsi="Arial"/>
                <w:color w:val="172B2A"/>
                <w:sz w:val="19"/>
                <w:szCs w:val="19"/>
              </w:rPr>
              <w:t xml:space="preserve">Annexe 2 – Organigramme de l’équipe dédiée</w:t>
            </w:r>
          </w:p>
          <w:p>
            <w:pPr>
              <w:pStyle w:val="ListParagraph"/>
              <w:numPr>
                <w:ilvl w:val="0"/>
                <w:numId w:val="3"/>
              </w:numPr>
              <w:spacing w:after="60" w:line="276"/>
            </w:pPr>
            <w:r>
              <w:rPr>
                <w:rFonts w:ascii="Arial" w:cs="Arial" w:eastAsia="Arial" w:hAnsi="Arial"/>
                <w:color w:val="172B2A"/>
                <w:sz w:val="19"/>
                <w:szCs w:val="19"/>
              </w:rPr>
              <w:t xml:space="preserve">Annexe 3 – Fiche d’intervention type et exemple de compte rendu</w:t>
            </w:r>
          </w:p>
          <w:p>
            <w:pPr>
              <w:pStyle w:val="ListParagraph"/>
              <w:numPr>
                <w:ilvl w:val="0"/>
                <w:numId w:val="3"/>
              </w:numPr>
              <w:spacing w:after="60" w:line="276"/>
            </w:pPr>
            <w:r>
              <w:rPr>
                <w:rFonts w:ascii="Arial" w:cs="Arial" w:eastAsia="Arial" w:hAnsi="Arial"/>
                <w:color w:val="172B2A"/>
                <w:sz w:val="19"/>
                <w:szCs w:val="19"/>
              </w:rPr>
              <w:t xml:space="preserve">Annexe 4 – Liste du matériel affecté</w:t>
            </w:r>
          </w:p>
          <w:p>
            <w:pPr>
              <w:pStyle w:val="ListParagraph"/>
              <w:numPr>
                <w:ilvl w:val="0"/>
                <w:numId w:val="3"/>
              </w:numPr>
              <w:spacing w:after="60" w:line="276"/>
            </w:pPr>
            <w:r>
              <w:rPr>
                <w:rFonts w:ascii="Arial" w:cs="Arial" w:eastAsia="Arial" w:hAnsi="Arial"/>
                <w:color w:val="172B2A"/>
                <w:sz w:val="19"/>
                <w:szCs w:val="19"/>
              </w:rPr>
              <w:t xml:space="preserve">Annexe 5 – Attestation de la plateforme de compostage</w:t>
            </w:r>
          </w:p>
          <w:p>
            <w:pPr>
              <w:pStyle w:val="ListParagraph"/>
              <w:numPr>
                <w:ilvl w:val="0"/>
                <w:numId w:val="3"/>
              </w:numPr>
              <w:spacing w:after="60" w:line="276"/>
            </w:pPr>
            <w:r>
              <w:rPr>
                <w:rFonts w:ascii="Arial" w:cs="Arial" w:eastAsia="Arial" w:hAnsi="Arial"/>
                <w:color w:val="172B2A"/>
                <w:sz w:val="19"/>
                <w:szCs w:val="19"/>
              </w:rPr>
              <w:t xml:space="preserve">Annexe 6 – Attestations de bonne exécution</w:t>
            </w:r>
          </w:p>
        </w:tc>
      </w:tr>
    </w:tbl>
    <w:p>
      <w:pPr>
        <w:spacing w:after="160"/>
      </w:pPr>
    </w:p>
    <w:p>
      <w:pPr>
        <w:pStyle w:val="ListParagraph"/>
        <w:numPr>
          <w:ilvl w:val="0"/>
          <w:numId w:val="3"/>
        </w:numPr>
        <w:spacing w:after="60" w:line="276"/>
      </w:pPr>
      <w:r>
        <w:rPr>
          <w:rFonts w:ascii="Arial" w:cs="Arial" w:eastAsia="Arial" w:hAnsi="Arial"/>
          <w:color w:val="172B2A"/>
        </w:rPr>
        <w:t xml:space="preserve">Annexe 1 – [document]</w:t>
      </w:r>
    </w:p>
    <w:p>
      <w:pPr>
        <w:pStyle w:val="ListParagraph"/>
        <w:numPr>
          <w:ilvl w:val="0"/>
          <w:numId w:val="3"/>
        </w:numPr>
        <w:spacing w:after="60" w:line="276"/>
      </w:pPr>
      <w:r>
        <w:rPr>
          <w:rFonts w:ascii="Arial" w:cs="Arial" w:eastAsia="Arial" w:hAnsi="Arial"/>
          <w:color w:val="172B2A"/>
        </w:rPr>
        <w:t xml:space="preserve">Annexe 2 – [document]</w:t>
      </w:r>
    </w:p>
    <w:p>
      <w:pPr>
        <w:pStyle w:val="ListParagraph"/>
        <w:numPr>
          <w:ilvl w:val="0"/>
          <w:numId w:val="3"/>
        </w:numPr>
        <w:spacing w:after="60" w:line="276"/>
        <w:sectPr>
          <w:footerReference w:type="default" r:id="rId7"/>
          <w:pgSz w:w="11906" w:h="16838" w:orient="portrait"/>
          <w:pgMar w:top="1134" w:right="1134" w:bottom="1134" w:left="1134" w:header="708" w:footer="708" w:gutter="0"/>
          <w:pgNumType/>
          <w:docGrid w:linePitch="360"/>
        </w:sectPr>
      </w:pPr>
      <w:r>
        <w:rPr>
          <w:rFonts w:ascii="Arial" w:cs="Arial" w:eastAsia="Arial" w:hAnsi="Arial"/>
          <w:color w:val="172B2A"/>
        </w:rPr>
        <w:t xml:space="preserve">Annexe 3 – [document]</w:t>
      </w:r>
    </w:p>
    <w:p>
      <w:pPr>
        <w:spacing w:after="100"/>
      </w:pPr>
      <w:r>
        <w:rPr>
          <w:rFonts w:ascii="Arial" w:cs="Arial" w:eastAsia="Arial" w:hAnsi="Arial"/>
          <w:b/>
          <w:bCs/>
          <w:color w:val="C5870D"/>
          <w:spacing w:val="20"/>
          <w:sz w:val="16"/>
          <w:szCs w:val="16"/>
        </w:rPr>
        <w:t xml:space="preserve">CHECKLIST – PAGE À SUPPRIMER AVANT LE DÉPÔT</w:t>
      </w:r>
    </w:p>
    <w:p>
      <w:pPr>
        <w:pStyle w:val="Heading1"/>
      </w:pPr>
      <w:r>
        <w:rPr>
          <w:rFonts w:ascii="Arial" w:cs="Arial" w:eastAsia="Arial" w:hAnsi="Arial"/>
          <w:color w:val="1B4B46"/>
        </w:rPr>
        <w:t xml:space="preserve">Avant de déposer</w:t>
      </w:r>
    </w:p>
    <w:p>
      <w:pPr>
        <w:spacing w:after="120" w:line="276"/>
        <w:ind w:left="440" w:hanging="440"/>
      </w:pPr>
      <w:r>
        <w:rPr>
          <w:rFonts w:ascii="Arial" w:cs="Arial" w:eastAsia="Arial" w:hAnsi="Arial"/>
          <w:color w:val="2F7F71"/>
          <w:sz w:val="24"/>
          <w:szCs w:val="24"/>
        </w:rPr>
        <w:t xml:space="preserve">☐	</w:t>
      </w:r>
      <w:r>
        <w:rPr>
          <w:rFonts w:ascii="Arial" w:cs="Arial" w:eastAsia="Arial" w:hAnsi="Arial"/>
          <w:color w:val="172B2A"/>
        </w:rPr>
        <w:t xml:space="preserve">Chaque sous-critère du RC a sa partie, dans le même ordre et avec le même intitulé.</w:t>
      </w:r>
    </w:p>
    <w:p>
      <w:pPr>
        <w:spacing w:after="120" w:line="276"/>
        <w:ind w:left="440" w:hanging="440"/>
      </w:pPr>
      <w:r>
        <w:rPr>
          <w:rFonts w:ascii="Arial" w:cs="Arial" w:eastAsia="Arial" w:hAnsi="Arial"/>
          <w:color w:val="2F7F71"/>
          <w:sz w:val="24"/>
          <w:szCs w:val="24"/>
        </w:rPr>
        <w:t xml:space="preserve">☐	</w:t>
      </w:r>
      <w:r>
        <w:rPr>
          <w:rFonts w:ascii="Arial" w:cs="Arial" w:eastAsia="Arial" w:hAnsi="Arial"/>
          <w:color w:val="172B2A"/>
        </w:rPr>
        <w:t xml:space="preserve">Les parties qui rapportent le plus de points sont les plus développées.</w:t>
      </w:r>
    </w:p>
    <w:p>
      <w:pPr>
        <w:spacing w:after="120" w:line="276"/>
        <w:ind w:left="440" w:hanging="440"/>
      </w:pPr>
      <w:r>
        <w:rPr>
          <w:rFonts w:ascii="Arial" w:cs="Arial" w:eastAsia="Arial" w:hAnsi="Arial"/>
          <w:color w:val="2F7F71"/>
          <w:sz w:val="24"/>
          <w:szCs w:val="24"/>
        </w:rPr>
        <w:t xml:space="preserve">☐	</w:t>
      </w:r>
      <w:r>
        <w:rPr>
          <w:rFonts w:ascii="Arial" w:cs="Arial" w:eastAsia="Arial" w:hAnsi="Arial"/>
          <w:color w:val="172B2A"/>
        </w:rPr>
        <w:t xml:space="preserve">Chaque exigence de la matrice a une réponse et, si possible, une preuve.</w:t>
      </w:r>
    </w:p>
    <w:p>
      <w:pPr>
        <w:spacing w:after="120" w:line="276"/>
        <w:ind w:left="440" w:hanging="440"/>
      </w:pPr>
      <w:r>
        <w:rPr>
          <w:rFonts w:ascii="Arial" w:cs="Arial" w:eastAsia="Arial" w:hAnsi="Arial"/>
          <w:color w:val="2F7F71"/>
          <w:sz w:val="24"/>
          <w:szCs w:val="24"/>
        </w:rPr>
        <w:t xml:space="preserve">☐	</w:t>
      </w:r>
      <w:r>
        <w:rPr>
          <w:rFonts w:ascii="Arial" w:cs="Arial" w:eastAsia="Arial" w:hAnsi="Arial"/>
          <w:color w:val="172B2A"/>
        </w:rPr>
        <w:t xml:space="preserve">Les engagements sont chiffrés : délais, effectifs, fréquences, indicateurs.</w:t>
      </w:r>
    </w:p>
    <w:p>
      <w:pPr>
        <w:spacing w:after="120" w:line="276"/>
        <w:ind w:left="440" w:hanging="440"/>
      </w:pPr>
      <w:r>
        <w:rPr>
          <w:rFonts w:ascii="Arial" w:cs="Arial" w:eastAsia="Arial" w:hAnsi="Arial"/>
          <w:color w:val="2F7F71"/>
          <w:sz w:val="24"/>
          <w:szCs w:val="24"/>
        </w:rPr>
        <w:t xml:space="preserve">☐	</w:t>
      </w:r>
      <w:r>
        <w:rPr>
          <w:rFonts w:ascii="Arial" w:cs="Arial" w:eastAsia="Arial" w:hAnsi="Arial"/>
          <w:color w:val="172B2A"/>
        </w:rPr>
        <w:t xml:space="preserve">Le planning, les moyens annoncés et le prix sont cohérents.</w:t>
      </w:r>
    </w:p>
    <w:p>
      <w:pPr>
        <w:spacing w:after="120" w:line="276"/>
        <w:ind w:left="440" w:hanging="440"/>
      </w:pPr>
      <w:r>
        <w:rPr>
          <w:rFonts w:ascii="Arial" w:cs="Arial" w:eastAsia="Arial" w:hAnsi="Arial"/>
          <w:color w:val="2F7F71"/>
          <w:sz w:val="24"/>
          <w:szCs w:val="24"/>
        </w:rPr>
        <w:t xml:space="preserve">☐	</w:t>
      </w:r>
      <w:r>
        <w:rPr>
          <w:rFonts w:ascii="Arial" w:cs="Arial" w:eastAsia="Arial" w:hAnsi="Arial"/>
          <w:color w:val="172B2A"/>
        </w:rPr>
        <w:t xml:space="preserve">Les noms, CV et références correspondent à l’équipe réellement affectée.</w:t>
      </w:r>
    </w:p>
    <w:p>
      <w:pPr>
        <w:spacing w:after="120" w:line="276"/>
        <w:ind w:left="440" w:hanging="440"/>
      </w:pPr>
      <w:r>
        <w:rPr>
          <w:rFonts w:ascii="Arial" w:cs="Arial" w:eastAsia="Arial" w:hAnsi="Arial"/>
          <w:color w:val="2F7F71"/>
          <w:sz w:val="24"/>
          <w:szCs w:val="24"/>
        </w:rPr>
        <w:t xml:space="preserve">☐	</w:t>
      </w:r>
      <w:r>
        <w:rPr>
          <w:rFonts w:ascii="Arial" w:cs="Arial" w:eastAsia="Arial" w:hAnsi="Arial"/>
          <w:color w:val="172B2A"/>
        </w:rPr>
        <w:t xml:space="preserve">Le nombre de pages, le format et le nom du fichier respectent le RC.</w:t>
      </w:r>
    </w:p>
    <w:p>
      <w:pPr>
        <w:spacing w:after="120" w:line="276"/>
        <w:ind w:left="440" w:hanging="440"/>
      </w:pPr>
      <w:r>
        <w:rPr>
          <w:rFonts w:ascii="Arial" w:cs="Arial" w:eastAsia="Arial" w:hAnsi="Arial"/>
          <w:color w:val="2F7F71"/>
          <w:sz w:val="24"/>
          <w:szCs w:val="24"/>
        </w:rPr>
        <w:t xml:space="preserve">☐	</w:t>
      </w:r>
      <w:r>
        <w:rPr>
          <w:rFonts w:ascii="Arial" w:cs="Arial" w:eastAsia="Arial" w:hAnsi="Arial"/>
          <w:color w:val="172B2A"/>
        </w:rPr>
        <w:t xml:space="preserve">Le nom de l’acheteur, l’objet et la référence sont exacts partout.</w:t>
      </w:r>
    </w:p>
    <w:p>
      <w:pPr>
        <w:spacing w:after="120" w:line="276"/>
        <w:ind w:left="440" w:hanging="440"/>
      </w:pPr>
      <w:r>
        <w:rPr>
          <w:rFonts w:ascii="Arial" w:cs="Arial" w:eastAsia="Arial" w:hAnsi="Arial"/>
          <w:color w:val="2F7F71"/>
          <w:sz w:val="24"/>
          <w:szCs w:val="24"/>
        </w:rPr>
        <w:t xml:space="preserve">☐	</w:t>
      </w:r>
      <w:r>
        <w:rPr>
          <w:rFonts w:ascii="Arial" w:cs="Arial" w:eastAsia="Arial" w:hAnsi="Arial"/>
          <w:color w:val="172B2A"/>
        </w:rPr>
        <w:t xml:space="preserve">Les consignes et les exemples de ce modèle ont été supprimés.</w:t>
      </w:r>
    </w:p>
    <w:p>
      <w:pPr>
        <w:spacing w:after="120" w:line="276"/>
        <w:ind w:left="440" w:hanging="440"/>
      </w:pPr>
      <w:r>
        <w:rPr>
          <w:rFonts w:ascii="Arial" w:cs="Arial" w:eastAsia="Arial" w:hAnsi="Arial"/>
          <w:color w:val="2F7F71"/>
          <w:sz w:val="24"/>
          <w:szCs w:val="24"/>
        </w:rPr>
        <w:t xml:space="preserve">☐	</w:t>
      </w:r>
      <w:r>
        <w:rPr>
          <w:rFonts w:ascii="Arial" w:cs="Arial" w:eastAsia="Arial" w:hAnsi="Arial"/>
          <w:color w:val="172B2A"/>
        </w:rPr>
        <w:t xml:space="preserve">Si le CCAP fait du mémoire une pièce contractuelle, chaque engagement est tenable pendant l’exécution.</w:t>
      </w:r>
    </w:p>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1B4B46" w:sz="4"/>
              <w:left w:val="single" w:color="C5870D" w:sz="24"/>
              <w:bottom w:val="single" w:color="1B4B46" w:sz="4"/>
              <w:right w:val="single" w:color="1B4B46" w:sz="4"/>
            </w:tcBorders>
            <w:shd w:fill="1B4B46" w:color="auto" w:val="clear"/>
            <w:tcMar>
              <w:top w:type="dxa" w:w="140"/>
              <w:left w:type="dxa" w:w="220"/>
              <w:bottom w:type="dxa" w:w="100"/>
              <w:right w:type="dxa" w:w="220"/>
            </w:tcMar>
          </w:tcPr>
          <w:p>
            <w:pPr>
              <w:spacing w:after="120" w:line="288"/>
            </w:pPr>
            <w:r>
              <w:rPr>
                <w:rFonts w:ascii="Arial" w:cs="Arial" w:eastAsia="Arial" w:hAnsi="Arial"/>
                <w:b/>
                <w:bCs/>
                <w:color w:val="FFFFFF"/>
                <w:sz w:val="24"/>
                <w:szCs w:val="24"/>
              </w:rPr>
              <w:t xml:space="preserve">Pour aller plus loin</w:t>
            </w:r>
          </w:p>
          <w:p>
            <w:pPr>
              <w:spacing w:after="120" w:line="288"/>
            </w:pPr>
            <w:r>
              <w:rPr>
                <w:rFonts w:ascii="Arial" w:cs="Arial" w:eastAsia="Arial" w:hAnsi="Arial"/>
                <w:color w:val="FFFFFF"/>
                <w:sz w:val="19"/>
                <w:szCs w:val="19"/>
              </w:rPr>
              <w:t xml:space="preserve">Guide, méthode et exemple en PDF : semagora.com/guides/memoire-technique</w:t>
            </w:r>
          </w:p>
          <w:p>
            <w:pPr>
              <w:spacing w:after="40"/>
            </w:pPr>
            <w:r>
              <w:rPr>
                <w:rFonts w:ascii="Arial" w:cs="Arial" w:eastAsia="Arial" w:hAnsi="Arial"/>
                <w:color w:val="FFFFFF"/>
                <w:sz w:val="19"/>
                <w:szCs w:val="19"/>
              </w:rPr>
              <w:t xml:space="preserve">DCE des marchés ouverts, cherchables par leur contenu : semagora.com/bibliotheque-dce</w:t>
            </w:r>
          </w:p>
        </w:tc>
      </w:tr>
    </w:tbl>
    <w:sectPr>
      <w:footerReference w:type="default" r:id="rId8"/>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Arial" w:cs="Arial" w:eastAsia="Arial" w:hAnsi="Arial"/>
        <w:color w:val="5F6F6D"/>
        <w:sz w:val="15"/>
        <w:szCs w:val="15"/>
      </w:rPr>
      <w:t xml:space="preserve">Modèle Semagora – semagora.com/guides/memoire-technique – page à supprimer avant le dépôt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CD" w:sz="4" w:space="6"/>
      </w:pBdr>
      <w:tabs>
        <w:tab w:val="right" w:pos="9638"/>
      </w:tabs>
    </w:pPr>
    <w:r>
      <w:rPr>
        <w:rFonts w:ascii="Arial" w:cs="Arial" w:eastAsia="Arial" w:hAnsi="Arial"/>
        <w:color w:val="5F6F6D"/>
        <w:sz w:val="15"/>
        <w:szCs w:val="15"/>
      </w:rPr>
      <w:t xml:space="preserve">[Raison sociale du candidat] – Mémoire technique – [référence de la consultation]</w:t>
    </w:r>
    <w:r>
      <w:rPr>
        <w:rFonts w:ascii="Arial" w:cs="Arial" w:eastAsia="Arial" w:hAnsi="Arial"/>
        <w:color w:val="5F6F6D"/>
        <w:sz w:val="15"/>
        <w:szCs w:val="15"/>
      </w:rPr>
      <w:t xml:space="preserve">	Page </w:t>
    </w:r>
    <w:r>
      <w:rPr>
        <w:rFonts w:ascii="Arial" w:cs="Arial" w:eastAsia="Arial" w:hAnsi="Arial"/>
        <w:color w:val="5F6F6D"/>
        <w:sz w:val="15"/>
        <w:szCs w:val="15"/>
      </w:rPr>
      <w:fldChar w:fldCharType="begin"/>
    </w:r>
    <w:r>
      <w:rPr>
        <w:rFonts w:ascii="Arial" w:cs="Arial" w:eastAsia="Arial" w:hAnsi="Arial"/>
        <w:color w:val="5F6F6D"/>
        <w:sz w:val="15"/>
        <w:szCs w:val="15"/>
      </w:rPr>
      <w:instrText xml:space="preserve">PAGE</w:instrText>
    </w:r>
    <w:r>
      <w:rPr>
        <w:rFonts w:ascii="Arial" w:cs="Arial" w:eastAsia="Arial" w:hAnsi="Arial"/>
        <w:color w:val="5F6F6D"/>
        <w:sz w:val="15"/>
        <w:szCs w:val="15"/>
      </w:rPr>
      <w:fldChar w:fldCharType="separate"/>
    </w:r>
    <w:r>
      <w:rPr>
        <w:rFonts w:ascii="Arial" w:cs="Arial" w:eastAsia="Arial" w:hAnsi="Arial"/>
        <w:color w:val="5F6F6D"/>
        <w:sz w:val="15"/>
        <w:szCs w:val="1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Arial" w:cs="Arial" w:eastAsia="Arial" w:hAnsi="Arial"/>
        <w:color w:val="5F6F6D"/>
        <w:sz w:val="15"/>
        <w:szCs w:val="15"/>
      </w:rPr>
      <w:t xml:space="preserve">Modèle Semagora – semagora.com/guides/memoire-technique – page à supprimer avant le dépôt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rPr>
        <w:color w:val="2F7F71"/>
      </w:rPr>
    </w:lvl>
  </w:abstractNum>
  <w:abstractNum w:abstractNumId="3" w15:restartNumberingAfterBreak="0">
    <w:multiLevelType w:val="hybridMultilevel"/>
    <w:lvl w:ilvl="0" w:tentative="1">
      <w:start w:val="1"/>
      <w:numFmt w:val="decimal"/>
      <w:lvlText w:val="%1."/>
      <w:lvlJc w:val="left"/>
      <w:pPr>
        <w:ind w:left="400" w:hanging="400"/>
      </w:pPr>
      <w:rPr>
        <w:b/>
        <w:bCs/>
        <w:color w:val="C5870D"/>
      </w:rPr>
    </w:lvl>
  </w:abstractNum>
  <w:abstractNum w:abstractNumId="4" w15:restartNumberingAfterBreak="0">
    <w:multiLevelType w:val="hybridMultilevel"/>
    <w:lvl w:ilvl="0" w:tentative="1">
      <w:start w:val="1"/>
      <w:numFmt w:val="decimal"/>
      <w:lvlText w:val="%1."/>
      <w:lvlJc w:val="left"/>
      <w:pPr>
        <w:ind w:left="36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2B2A"/>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Title">
    <w:name w:val="Title"/>
    <w:basedOn w:val="Normal"/>
    <w:next w:val="Normal"/>
    <w:pPr>
      <w:keepNext/>
      <w:spacing w:after="160" w:before="0"/>
    </w:pPr>
    <w:rPr>
      <w:rFonts w:ascii="Arial" w:cs="Arial" w:eastAsia="Arial" w:hAnsi="Arial"/>
      <w:b/>
      <w:bCs/>
      <w:color w:val="1B4B46"/>
      <w:sz w:val="52"/>
      <w:szCs w:val="52"/>
    </w:rPr>
  </w:style>
  <w:style w:type="paragraph" w:styleId="Heading1">
    <w:name w:val="Heading 1"/>
    <w:basedOn w:val="Normal"/>
    <w:next w:val="Normal"/>
    <w:qFormat/>
    <w:pPr>
      <w:keepNext/>
      <w:pBdr>
        <w:bottom w:val="single" w:color="1B4B46" w:sz="12" w:space="6"/>
      </w:pBdr>
      <w:spacing w:after="220" w:before="0"/>
      <w:outlineLvl w:val="0"/>
    </w:pPr>
    <w:rPr>
      <w:rFonts w:ascii="Arial" w:cs="Arial" w:eastAsia="Arial" w:hAnsi="Arial"/>
      <w:b/>
      <w:bCs/>
      <w:color w:val="1B4B46"/>
      <w:sz w:val="34"/>
      <w:szCs w:val="34"/>
    </w:rPr>
  </w:style>
  <w:style w:type="paragraph" w:styleId="Heading2">
    <w:name w:val="Heading 2"/>
    <w:basedOn w:val="Normal"/>
    <w:next w:val="Normal"/>
    <w:qFormat/>
    <w:pPr>
      <w:keepNext/>
      <w:spacing w:after="120" w:before="240"/>
      <w:outlineLvl w:val="1"/>
    </w:pPr>
    <w:rPr>
      <w:rFonts w:ascii="Arial" w:cs="Arial" w:eastAsia="Arial" w:hAnsi="Arial"/>
      <w:b/>
      <w:bCs/>
      <w:color w:val="1B4B46"/>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image" Target="media/image1.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mémoire technique</dc:title>
  <dc:creator>Semagora</dc:creator>
  <dc:description>Modèle de mémoire technique pour répondre à un appel d’offres public, avec consignes et exemple rédigé.</dc:description>
  <cp:lastModifiedBy>Un-named</cp:lastModifiedBy>
  <cp:revision>1</cp:revision>
  <dcterms:created xsi:type="dcterms:W3CDTF">2026-11-03T15:54:54.573Z</dcterms:created>
  <dcterms:modified xsi:type="dcterms:W3CDTF">2026-11-03T15:54:54.574Z</dcterms:modified>
</cp:coreProperties>
</file>

<file path=docProps/custom.xml><?xml version="1.0" encoding="utf-8"?>
<Properties xmlns="http://schemas.openxmlformats.org/officeDocument/2006/custom-properties" xmlns:vt="http://schemas.openxmlformats.org/officeDocument/2006/docPropsVTypes"/>
</file>